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17D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公示</w:t>
      </w:r>
    </w:p>
    <w:p w14:paraId="5689E73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62C1A11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等线" w:hAnsi="等线" w:eastAsia="等线" w:cs="等线"/>
          <w:color w:val="000000"/>
          <w:sz w:val="24"/>
          <w:szCs w:val="24"/>
        </w:rPr>
        <w:t> </w:t>
      </w:r>
    </w:p>
    <w:p w14:paraId="26D3F58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根据《中华人民共和国行政处罚法》第四十八条“具有一定社会影响的行政处罚决定应当依法公开”的</w:t>
      </w:r>
      <w:bookmarkStart w:id="1" w:name="_GoBack"/>
      <w:bookmarkEnd w:id="1"/>
      <w:r>
        <w:rPr>
          <w:rFonts w:hint="eastAsia" w:ascii="仿宋_GB2312" w:eastAsia="仿宋_GB2312" w:cs="仿宋_GB2312"/>
          <w:color w:val="000000"/>
          <w:sz w:val="32"/>
          <w:szCs w:val="32"/>
        </w:rPr>
        <w:t>要求，由于山东钲浩资源再生有限公司未按照规定办理工程质量监督手续，依据《建设工程质量管理条例》相关规定，对其进行行政处罚</w:t>
      </w:r>
      <w:bookmarkStart w:id="0" w:name="_GoBack"/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  <w:bookmarkEnd w:id="0"/>
    </w:p>
    <w:p w14:paraId="0CF5DA4C"/>
    <w:sectPr>
      <w:pgSz w:w="11906" w:h="16838"/>
      <w:pgMar w:top="170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27C86"/>
    <w:rsid w:val="08027C86"/>
    <w:rsid w:val="672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2026-01-21T01:09:00Z</dcterms:created>
  <dc:creator>子岳</dc:creator>
  <cp:lastModifiedBy>子岳</cp:lastModifiedBy>
  <dcterms:modified xsi:type="dcterms:W3CDTF">2026-01-21T01:10:42Z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A096C05CA9FB4419AE6C62839F704F20_11</vt:lpwstr>
  </property>
  <property fmtid="{D5CDD505-2E9C-101B-9397-08002B2CF9AE}" pid="4" name="KSOTemplateDocerSaveRecord">
    <vt:lpwstr>eyJoZGlkIjoiYTdjMGZhMjM0OWQ1ZmIxYWQ5N2E3MDUwMmVjMzEyZDUiLCJ1c2VySWQiOiI0NjAzNjIzOTAifQ==</vt:lpwstr>
  </property>
</Properties>
</file>