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beforeAutospacing="0" w:afterAutospacing="0" w:line="580" w:lineRule="exact"/>
        <w:jc w:val="center"/>
        <w:outlineLvl w:val="0"/>
        <w:rPr>
          <w:rFonts w:hint="eastAsia" w:ascii="方正小标宋_GBK" w:hAnsi="方正小标宋_GBK" w:eastAsia="方正小标宋_GBK" w:cs="方正小标宋_GBK"/>
          <w:kern w:val="2"/>
          <w:sz w:val="44"/>
          <w:szCs w:val="44"/>
        </w:rPr>
      </w:pPr>
      <w:r>
        <w:rPr>
          <w:rFonts w:hint="eastAsia" w:ascii="方正小标宋_GBK" w:hAnsi="方正小标宋_GBK" w:eastAsia="方正小标宋_GBK" w:cs="方正小标宋_GBK"/>
          <w:kern w:val="2"/>
          <w:sz w:val="44"/>
          <w:szCs w:val="44"/>
        </w:rPr>
        <w:t>山东电力市场运营业务监管指引</w:t>
      </w:r>
    </w:p>
    <w:p>
      <w:pPr>
        <w:pStyle w:val="3"/>
        <w:snapToGrid w:val="0"/>
        <w:spacing w:beforeAutospacing="0" w:afterAutospacing="0" w:line="580" w:lineRule="exact"/>
        <w:jc w:val="center"/>
        <w:outlineLvl w:val="0"/>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w:t>
      </w:r>
      <w:r>
        <w:rPr>
          <w:rFonts w:hint="eastAsia" w:ascii="方正楷体_GBK" w:hAnsi="方正楷体_GBK" w:eastAsia="方正楷体_GBK" w:cs="方正楷体_GBK"/>
          <w:kern w:val="2"/>
          <w:sz w:val="32"/>
          <w:szCs w:val="32"/>
          <w:lang w:val="en-US" w:eastAsia="zh-CN"/>
        </w:rPr>
        <w:t>征求意见</w:t>
      </w:r>
      <w:r>
        <w:rPr>
          <w:rFonts w:hint="eastAsia" w:ascii="方正楷体_GBK" w:hAnsi="方正楷体_GBK" w:eastAsia="方正楷体_GBK" w:cs="方正楷体_GBK"/>
          <w:kern w:val="2"/>
          <w:sz w:val="32"/>
          <w:szCs w:val="32"/>
        </w:rPr>
        <w:t>稿）</w:t>
      </w:r>
    </w:p>
    <w:p>
      <w:pPr>
        <w:spacing w:line="580" w:lineRule="exact"/>
        <w:jc w:val="center"/>
        <w:rPr>
          <w:rFonts w:hint="eastAsia" w:ascii="楷体_GB2312" w:hAnsi="华文中宋" w:eastAsia="楷体_GB2312"/>
          <w:sz w:val="36"/>
          <w:szCs w:val="36"/>
        </w:rPr>
      </w:pPr>
    </w:p>
    <w:p>
      <w:pPr>
        <w:spacing w:after="0" w:line="580" w:lineRule="exact"/>
        <w:jc w:val="center"/>
        <w:rPr>
          <w:rFonts w:hint="eastAsia" w:ascii="楷体_GB2312" w:hAnsi="华文中宋" w:eastAsia="楷体_GB2312"/>
          <w:sz w:val="36"/>
          <w:szCs w:val="36"/>
        </w:rPr>
      </w:pPr>
      <w:r>
        <w:rPr>
          <w:rFonts w:hint="eastAsia" w:ascii="方正黑体_GBK" w:hAnsi="方正黑体_GBK" w:eastAsia="方正黑体_GBK" w:cs="方正黑体_GBK"/>
          <w:sz w:val="32"/>
          <w:szCs w:val="32"/>
        </w:rPr>
        <w:t>第一章 总则</w:t>
      </w:r>
    </w:p>
    <w:p>
      <w:pPr>
        <w:pStyle w:val="6"/>
        <w:numPr>
          <w:ilvl w:val="1"/>
          <w:numId w:val="1"/>
        </w:numPr>
        <w:spacing w:after="0" w:line="580" w:lineRule="exact"/>
        <w:ind w:left="0" w:firstLine="640"/>
        <w:rPr>
          <w:rFonts w:hint="eastAsia"/>
        </w:rPr>
      </w:pPr>
      <w:r>
        <w:rPr>
          <w:rFonts w:hint="eastAsia"/>
        </w:rPr>
        <w:t>【目的依据】为促进电力市场公平、公正、高效运行，维护市场秩序，规范</w:t>
      </w:r>
      <w:r>
        <w:rPr>
          <w:rFonts w:hint="eastAsia"/>
          <w:lang w:val="en-US" w:eastAsia="zh-CN"/>
        </w:rPr>
        <w:t>市场运营机构</w:t>
      </w:r>
      <w:r>
        <w:rPr>
          <w:rFonts w:hint="eastAsia"/>
        </w:rPr>
        <w:t>行为，根据《山东省电力市场监管办法（试行）》，制定本指引</w:t>
      </w:r>
      <w:r>
        <w:t>。</w:t>
      </w:r>
    </w:p>
    <w:p>
      <w:pPr>
        <w:pStyle w:val="6"/>
        <w:numPr>
          <w:ilvl w:val="1"/>
          <w:numId w:val="1"/>
        </w:numPr>
        <w:spacing w:after="0" w:line="580" w:lineRule="exact"/>
        <w:ind w:left="0" w:firstLine="640"/>
        <w:rPr>
          <w:rFonts w:hint="eastAsia"/>
        </w:rPr>
      </w:pPr>
      <w:r>
        <w:rPr>
          <w:rFonts w:hint="eastAsia"/>
        </w:rPr>
        <w:t>【适用范围】本指引适用于山东能源监管办对电力市场运营机构提供的市场运营业务实施监管。市场运营机构依据相关法律法规、政策文件、</w:t>
      </w:r>
      <w:r>
        <w:rPr>
          <w:rFonts w:hint="eastAsia"/>
          <w:lang w:eastAsia="zh-CN"/>
        </w:rPr>
        <w:t>市场规则</w:t>
      </w:r>
      <w:r>
        <w:rPr>
          <w:rFonts w:hint="eastAsia"/>
        </w:rPr>
        <w:t>等</w:t>
      </w:r>
      <w:r>
        <w:t>规定</w:t>
      </w:r>
      <w:r>
        <w:rPr>
          <w:rFonts w:hint="eastAsia"/>
        </w:rPr>
        <w:t>，承担相应的市场运营职能，并接受监督。</w:t>
      </w:r>
    </w:p>
    <w:p>
      <w:pPr>
        <w:spacing w:after="0" w:line="580" w:lineRule="exact"/>
        <w:ind w:firstLine="640" w:firstLineChars="200"/>
        <w:rPr>
          <w:rFonts w:ascii="仿宋_GB2312" w:eastAsia="仿宋_GB2312"/>
          <w:sz w:val="32"/>
          <w:szCs w:val="32"/>
        </w:rPr>
      </w:pPr>
      <w:r>
        <w:rPr>
          <w:rFonts w:hint="eastAsia" w:ascii="仿宋_GB2312" w:eastAsia="仿宋_GB2312"/>
          <w:sz w:val="32"/>
          <w:szCs w:val="32"/>
        </w:rPr>
        <w:t>市场运营机构包括电力交易机构和电力调度机构。本指引中调度机构为国网山东省电力调控中心，交易机构指山东电力交易中心有限公司。</w:t>
      </w:r>
    </w:p>
    <w:p>
      <w:pPr>
        <w:spacing w:after="0" w:line="580" w:lineRule="exact"/>
        <w:ind w:firstLine="640" w:firstLineChars="200"/>
        <w:rPr>
          <w:rFonts w:ascii="仿宋_GB2312" w:eastAsia="仿宋_GB2312"/>
          <w:sz w:val="32"/>
          <w:szCs w:val="32"/>
        </w:rPr>
      </w:pPr>
    </w:p>
    <w:p>
      <w:pPr>
        <w:numPr>
          <w:ilvl w:val="255"/>
          <w:numId w:val="0"/>
        </w:numPr>
        <w:spacing w:after="0" w:line="58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第二章 监管内容</w:t>
      </w:r>
    </w:p>
    <w:p>
      <w:pPr>
        <w:pStyle w:val="6"/>
        <w:numPr>
          <w:ilvl w:val="1"/>
          <w:numId w:val="1"/>
        </w:numPr>
        <w:spacing w:after="0" w:line="580" w:lineRule="exact"/>
        <w:ind w:left="0" w:firstLine="640"/>
        <w:rPr>
          <w:rFonts w:hint="eastAsia"/>
        </w:rPr>
      </w:pPr>
      <w:r>
        <w:rPr>
          <w:rFonts w:hint="eastAsia"/>
        </w:rPr>
        <w:t>【工作制度监管要求】</w:t>
      </w:r>
      <w:r>
        <w:rPr>
          <w:rFonts w:hint="eastAsia"/>
          <w:lang w:val="en-US" w:eastAsia="zh-CN"/>
        </w:rPr>
        <w:t>电网企业、电力</w:t>
      </w:r>
      <w:r>
        <w:rPr>
          <w:rFonts w:hint="eastAsia"/>
        </w:rPr>
        <w:t>市场运营机构应当建立健全市场</w:t>
      </w:r>
      <w:r>
        <w:t>运营业务</w:t>
      </w:r>
      <w:r>
        <w:rPr>
          <w:rFonts w:hint="eastAsia"/>
        </w:rPr>
        <w:t>所需各项工作制度，加强内部控制管理，组织</w:t>
      </w:r>
      <w:r>
        <w:t>相关制度的</w:t>
      </w:r>
      <w:r>
        <w:rPr>
          <w:rFonts w:hint="eastAsia"/>
        </w:rPr>
        <w:t>修订</w:t>
      </w:r>
      <w:r>
        <w:t>完善</w:t>
      </w:r>
      <w:r>
        <w:rPr>
          <w:rFonts w:hint="eastAsia"/>
        </w:rPr>
        <w:t>、</w:t>
      </w:r>
      <w:r>
        <w:t>宣贯培训和检查落实</w:t>
      </w:r>
      <w:r>
        <w:rPr>
          <w:rFonts w:hint="eastAsia" w:hAnsi="仿宋" w:cs="宋体"/>
          <w:color w:val="000000"/>
          <w:kern w:val="0"/>
        </w:rPr>
        <w:t>，不断提升市场运营水平。工作制度</w:t>
      </w:r>
      <w:r>
        <w:rPr>
          <w:rFonts w:hint="eastAsia"/>
        </w:rPr>
        <w:t>包括但不限于：电力市场运营工作规范、电力市场信息保密管理制度、电力市场合规管理制度、电力市场运营关键岗位和人员回避制度、电力市场业务咨询和投诉受理制度等。</w:t>
      </w:r>
    </w:p>
    <w:p>
      <w:p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市场运营业务相关工作制度报</w:t>
      </w:r>
      <w:r>
        <w:rPr>
          <w:rFonts w:hint="eastAsia" w:ascii="仿宋_GB2312" w:hAnsi="仿宋_GB2312" w:eastAsia="仿宋_GB2312" w:cs="仿宋_GB2312"/>
          <w:sz w:val="32"/>
          <w:szCs w:val="32"/>
          <w:lang w:val="en-US" w:eastAsia="zh-CN"/>
        </w:rPr>
        <w:t>山东能源监管办、省发展改革委、省能源局</w:t>
      </w:r>
      <w:r>
        <w:rPr>
          <w:rFonts w:hint="eastAsia" w:ascii="仿宋_GB2312" w:hAnsi="仿宋_GB2312" w:eastAsia="仿宋_GB2312" w:cs="仿宋_GB2312"/>
          <w:sz w:val="32"/>
          <w:szCs w:val="32"/>
        </w:rPr>
        <w:t>备案。</w:t>
      </w:r>
    </w:p>
    <w:p>
      <w:pPr>
        <w:pStyle w:val="6"/>
        <w:widowControl/>
        <w:numPr>
          <w:ilvl w:val="1"/>
          <w:numId w:val="1"/>
        </w:numPr>
        <w:spacing w:after="0" w:line="580" w:lineRule="exact"/>
        <w:ind w:left="0" w:firstLine="640"/>
        <w:rPr>
          <w:rFonts w:hint="eastAsia"/>
        </w:rPr>
      </w:pPr>
      <w:r>
        <w:rPr>
          <w:rFonts w:hint="eastAsia"/>
        </w:rPr>
        <w:t>【信息保密监管要求】</w:t>
      </w:r>
      <w:r>
        <w:rPr>
          <w:rFonts w:hint="eastAsia"/>
          <w:lang w:val="en-US" w:eastAsia="zh-CN"/>
        </w:rPr>
        <w:t>市场运营机构应</w:t>
      </w:r>
      <w:r>
        <w:rPr>
          <w:rFonts w:hint="eastAsia"/>
        </w:rPr>
        <w:t>按照</w:t>
      </w:r>
      <w:r>
        <w:rPr>
          <w:rFonts w:hint="eastAsia"/>
          <w:lang w:val="en-US" w:eastAsia="zh-CN"/>
        </w:rPr>
        <w:t>有关规定，履行信息保密责任，组织</w:t>
      </w:r>
      <w:r>
        <w:rPr>
          <w:rFonts w:hint="eastAsia"/>
        </w:rPr>
        <w:t>知情人签署保密协议</w:t>
      </w:r>
      <w:r>
        <w:rPr>
          <w:rFonts w:hint="eastAsia"/>
          <w:lang w:eastAsia="zh-CN"/>
        </w:rPr>
        <w:t>，</w:t>
      </w:r>
      <w:r>
        <w:rPr>
          <w:rFonts w:hint="eastAsia"/>
        </w:rPr>
        <w:t>定期自查</w:t>
      </w:r>
      <w:r>
        <w:rPr>
          <w:rFonts w:hint="eastAsia"/>
          <w:lang w:val="en-US" w:eastAsia="zh-CN"/>
        </w:rPr>
        <w:t>保密规定</w:t>
      </w:r>
      <w:r>
        <w:t>执行情况</w:t>
      </w:r>
      <w:r>
        <w:rPr>
          <w:rFonts w:hint="eastAsia"/>
          <w:lang w:eastAsia="zh-CN"/>
        </w:rPr>
        <w:t>，</w:t>
      </w:r>
      <w:r>
        <w:rPr>
          <w:rFonts w:hint="eastAsia"/>
        </w:rPr>
        <w:t>并形成</w:t>
      </w:r>
      <w:r>
        <w:rPr>
          <w:rFonts w:hint="eastAsia"/>
          <w:lang w:val="en-US" w:eastAsia="zh-CN"/>
        </w:rPr>
        <w:t>自查</w:t>
      </w:r>
      <w:r>
        <w:t>报告</w:t>
      </w:r>
      <w:r>
        <w:rPr>
          <w:rFonts w:hint="eastAsia"/>
        </w:rPr>
        <w:t>。</w:t>
      </w:r>
    </w:p>
    <w:p>
      <w:pPr>
        <w:pStyle w:val="6"/>
        <w:widowControl/>
        <w:spacing w:after="0" w:line="580" w:lineRule="exact"/>
        <w:ind w:firstLine="640"/>
        <w:rPr>
          <w:rFonts w:hint="eastAsia"/>
        </w:rPr>
      </w:pPr>
      <w:r>
        <w:rPr>
          <w:rFonts w:hint="eastAsia"/>
        </w:rPr>
        <w:t>市场运营机构应与电力市场技术支持系统开发建设方签订保密协议，至少应明确保密要求、业务回避和违约责任等必要内容。</w:t>
      </w:r>
    </w:p>
    <w:p>
      <w:pPr>
        <w:pStyle w:val="6"/>
        <w:widowControl/>
        <w:numPr>
          <w:ilvl w:val="1"/>
          <w:numId w:val="1"/>
        </w:numPr>
        <w:spacing w:after="0" w:line="580" w:lineRule="exact"/>
        <w:ind w:left="0" w:firstLine="640"/>
        <w:rPr>
          <w:rFonts w:hint="eastAsia"/>
        </w:rPr>
      </w:pPr>
      <w:r>
        <w:rPr>
          <w:rFonts w:hint="eastAsia"/>
        </w:rPr>
        <w:t>【市场内幕信息泄露监管】电力市场</w:t>
      </w:r>
      <w:r>
        <w:t>内幕信息</w:t>
      </w:r>
      <w:r>
        <w:rPr>
          <w:rFonts w:hint="eastAsia"/>
        </w:rPr>
        <w:t>，是指在</w:t>
      </w:r>
      <w:r>
        <w:t>市场</w:t>
      </w:r>
      <w:r>
        <w:rPr>
          <w:rFonts w:hint="eastAsia"/>
        </w:rPr>
        <w:t>交易</w:t>
      </w:r>
      <w:r>
        <w:t>活动中，涉及市场运营或者</w:t>
      </w:r>
      <w:r>
        <w:rPr>
          <w:rFonts w:hint="eastAsia"/>
          <w:lang w:val="en-US" w:eastAsia="zh-CN"/>
        </w:rPr>
        <w:t>对市场价格有重大影响的尚未公开的信息</w:t>
      </w:r>
      <w:r>
        <w:rPr>
          <w:rFonts w:hint="eastAsia"/>
        </w:rPr>
        <w:t>。</w:t>
      </w:r>
    </w:p>
    <w:p>
      <w:pPr>
        <w:pStyle w:val="6"/>
        <w:widowControl/>
        <w:spacing w:after="0" w:line="580" w:lineRule="exact"/>
        <w:ind w:firstLine="640"/>
        <w:rPr>
          <w:rFonts w:hint="eastAsia"/>
        </w:rPr>
      </w:pPr>
      <w:r>
        <w:rPr>
          <w:rFonts w:hint="eastAsia"/>
        </w:rPr>
        <w:t>有下列情形之一</w:t>
      </w:r>
      <w:r>
        <w:t>的</w:t>
      </w:r>
      <w:r>
        <w:rPr>
          <w:rFonts w:hint="eastAsia"/>
        </w:rPr>
        <w:t>，</w:t>
      </w:r>
      <w:r>
        <w:t>视为泄露</w:t>
      </w:r>
      <w:r>
        <w:rPr>
          <w:rFonts w:hint="eastAsia"/>
        </w:rPr>
        <w:t>电力市场</w:t>
      </w:r>
      <w:r>
        <w:t>内幕信息</w:t>
      </w:r>
      <w:r>
        <w:rPr>
          <w:rFonts w:hint="eastAsia"/>
        </w:rPr>
        <w:t>：</w:t>
      </w:r>
    </w:p>
    <w:p>
      <w:pPr>
        <w:widowControl/>
        <w:numPr>
          <w:ilvl w:val="0"/>
          <w:numId w:val="2"/>
        </w:numPr>
        <w:spacing w:after="0" w:line="580" w:lineRule="exact"/>
        <w:ind w:firstLine="640"/>
        <w:rPr>
          <w:rFonts w:ascii="仿宋_GB2312" w:eastAsia="仿宋_GB2312"/>
          <w:sz w:val="32"/>
          <w:szCs w:val="32"/>
        </w:rPr>
      </w:pPr>
      <w:r>
        <w:rPr>
          <w:rFonts w:hint="eastAsia" w:ascii="仿宋_GB2312" w:eastAsia="仿宋_GB2312"/>
          <w:sz w:val="32"/>
          <w:szCs w:val="32"/>
        </w:rPr>
        <w:t>知情人员擅自向市场利益相关方或无关人员泄露内幕信息；</w:t>
      </w:r>
    </w:p>
    <w:p>
      <w:pPr>
        <w:widowControl/>
        <w:numPr>
          <w:ilvl w:val="0"/>
          <w:numId w:val="2"/>
        </w:numPr>
        <w:spacing w:after="0" w:line="580" w:lineRule="exact"/>
        <w:ind w:firstLine="640"/>
        <w:rPr>
          <w:rFonts w:ascii="仿宋_GB2312" w:eastAsia="仿宋_GB2312"/>
          <w:sz w:val="32"/>
          <w:szCs w:val="32"/>
        </w:rPr>
      </w:pPr>
      <w:r>
        <w:rPr>
          <w:rFonts w:hint="eastAsia" w:ascii="仿宋_GB2312" w:eastAsia="仿宋_GB2312"/>
          <w:sz w:val="32"/>
          <w:szCs w:val="32"/>
        </w:rPr>
        <w:t>市场运营机构从业人员未经批准或授权获取其岗位职责以外的内幕信息；</w:t>
      </w:r>
    </w:p>
    <w:p>
      <w:pPr>
        <w:widowControl/>
        <w:numPr>
          <w:ilvl w:val="0"/>
          <w:numId w:val="2"/>
        </w:numPr>
        <w:spacing w:after="0" w:line="580" w:lineRule="exact"/>
        <w:ind w:firstLine="640"/>
        <w:rPr>
          <w:rFonts w:ascii="仿宋_GB2312" w:eastAsia="仿宋_GB2312"/>
          <w:sz w:val="32"/>
          <w:szCs w:val="32"/>
        </w:rPr>
      </w:pPr>
      <w:r>
        <w:rPr>
          <w:rFonts w:hint="eastAsia" w:ascii="仿宋_GB2312" w:eastAsia="仿宋_GB2312"/>
          <w:sz w:val="32"/>
          <w:szCs w:val="32"/>
        </w:rPr>
        <w:t>市场运营机构从业人员在所在市场范围内从事电力批发交易业务的</w:t>
      </w:r>
      <w:r>
        <w:rPr>
          <w:rFonts w:hint="eastAsia" w:ascii="仿宋_GB2312" w:eastAsia="仿宋_GB2312"/>
          <w:sz w:val="32"/>
          <w:szCs w:val="32"/>
          <w:lang w:eastAsia="zh-CN"/>
        </w:rPr>
        <w:t>电力交易主体</w:t>
      </w:r>
      <w:r>
        <w:rPr>
          <w:rFonts w:hint="eastAsia" w:ascii="仿宋_GB2312" w:eastAsia="仿宋_GB2312"/>
          <w:sz w:val="32"/>
          <w:szCs w:val="32"/>
        </w:rPr>
        <w:t>或相关利益方兼任职务；</w:t>
      </w:r>
    </w:p>
    <w:p>
      <w:pPr>
        <w:widowControl/>
        <w:numPr>
          <w:ilvl w:val="0"/>
          <w:numId w:val="2"/>
        </w:numPr>
        <w:spacing w:after="0" w:line="580" w:lineRule="exact"/>
        <w:ind w:firstLine="640"/>
        <w:rPr>
          <w:rFonts w:ascii="仿宋_GB2312" w:eastAsia="仿宋_GB2312"/>
          <w:sz w:val="32"/>
          <w:szCs w:val="32"/>
        </w:rPr>
      </w:pPr>
      <w:r>
        <w:rPr>
          <w:rFonts w:hint="eastAsia" w:ascii="仿宋_GB2312" w:eastAsia="仿宋_GB2312"/>
          <w:sz w:val="32"/>
          <w:szCs w:val="32"/>
        </w:rPr>
        <w:t>市场运营机构从业人员向</w:t>
      </w:r>
      <w:r>
        <w:rPr>
          <w:rFonts w:ascii="仿宋_GB2312" w:eastAsia="仿宋_GB2312"/>
          <w:sz w:val="32"/>
          <w:szCs w:val="32"/>
        </w:rPr>
        <w:t>运营机构</w:t>
      </w:r>
      <w:r>
        <w:rPr>
          <w:rFonts w:hint="eastAsia" w:ascii="仿宋_GB2312" w:eastAsia="仿宋_GB2312"/>
          <w:sz w:val="32"/>
          <w:szCs w:val="32"/>
        </w:rPr>
        <w:t>外</w:t>
      </w:r>
      <w:r>
        <w:rPr>
          <w:rFonts w:ascii="仿宋_GB2312" w:eastAsia="仿宋_GB2312"/>
          <w:sz w:val="32"/>
          <w:szCs w:val="32"/>
        </w:rPr>
        <w:t>的</w:t>
      </w:r>
      <w:r>
        <w:rPr>
          <w:rFonts w:hint="eastAsia" w:ascii="仿宋_GB2312" w:eastAsia="仿宋_GB2312"/>
          <w:sz w:val="32"/>
          <w:szCs w:val="32"/>
        </w:rPr>
        <w:t>单位和</w:t>
      </w:r>
      <w:r>
        <w:rPr>
          <w:rFonts w:ascii="仿宋_GB2312" w:eastAsia="仿宋_GB2312"/>
          <w:sz w:val="32"/>
          <w:szCs w:val="32"/>
        </w:rPr>
        <w:t>人员</w:t>
      </w:r>
      <w:r>
        <w:rPr>
          <w:rFonts w:hint="eastAsia" w:ascii="仿宋_GB2312" w:eastAsia="仿宋_GB2312"/>
          <w:sz w:val="32"/>
          <w:szCs w:val="32"/>
        </w:rPr>
        <w:t>提供</w:t>
      </w:r>
      <w:r>
        <w:rPr>
          <w:rFonts w:ascii="仿宋_GB2312" w:eastAsia="仿宋_GB2312"/>
          <w:sz w:val="32"/>
          <w:szCs w:val="32"/>
        </w:rPr>
        <w:t>超出</w:t>
      </w:r>
      <w:r>
        <w:rPr>
          <w:rFonts w:hint="eastAsia" w:ascii="仿宋_GB2312" w:eastAsia="仿宋_GB2312"/>
          <w:sz w:val="32"/>
          <w:szCs w:val="32"/>
        </w:rPr>
        <w:t>当事人知情</w:t>
      </w:r>
      <w:r>
        <w:rPr>
          <w:rFonts w:ascii="仿宋_GB2312" w:eastAsia="仿宋_GB2312"/>
          <w:sz w:val="32"/>
          <w:szCs w:val="32"/>
        </w:rPr>
        <w:t>范围的</w:t>
      </w:r>
      <w:r>
        <w:rPr>
          <w:rFonts w:hint="eastAsia" w:ascii="仿宋_GB2312" w:eastAsia="仿宋_GB2312"/>
          <w:sz w:val="32"/>
          <w:szCs w:val="32"/>
        </w:rPr>
        <w:t>电力市场</w:t>
      </w:r>
      <w:r>
        <w:rPr>
          <w:rFonts w:ascii="仿宋_GB2312" w:eastAsia="仿宋_GB2312"/>
          <w:sz w:val="32"/>
          <w:szCs w:val="32"/>
        </w:rPr>
        <w:t>交易内幕信息</w:t>
      </w:r>
      <w:r>
        <w:rPr>
          <w:rFonts w:hint="eastAsia" w:ascii="仿宋_GB2312" w:eastAsia="仿宋_GB2312"/>
          <w:sz w:val="32"/>
          <w:szCs w:val="32"/>
        </w:rPr>
        <w:t>；</w:t>
      </w:r>
    </w:p>
    <w:p>
      <w:pPr>
        <w:widowControl/>
        <w:numPr>
          <w:ilvl w:val="0"/>
          <w:numId w:val="2"/>
        </w:numPr>
        <w:spacing w:after="0" w:line="580" w:lineRule="exact"/>
        <w:ind w:firstLine="640"/>
        <w:rPr>
          <w:rFonts w:ascii="仿宋_GB2312" w:eastAsia="仿宋_GB2312"/>
          <w:sz w:val="32"/>
          <w:szCs w:val="32"/>
        </w:rPr>
      </w:pPr>
      <w:r>
        <w:rPr>
          <w:rFonts w:hint="eastAsia" w:ascii="仿宋_GB2312" w:eastAsia="仿宋_GB2312"/>
          <w:sz w:val="32"/>
          <w:szCs w:val="32"/>
        </w:rPr>
        <w:t>市场运营机构关键岗位从业人员信息脱敏期不满3年，在其所在市场范围内直接</w:t>
      </w:r>
      <w:r>
        <w:rPr>
          <w:rFonts w:ascii="仿宋_GB2312" w:eastAsia="仿宋_GB2312"/>
          <w:sz w:val="32"/>
          <w:szCs w:val="32"/>
        </w:rPr>
        <w:t>参与</w:t>
      </w:r>
      <w:r>
        <w:rPr>
          <w:rFonts w:hint="eastAsia" w:ascii="仿宋_GB2312" w:eastAsia="仿宋_GB2312"/>
          <w:sz w:val="32"/>
          <w:szCs w:val="32"/>
        </w:rPr>
        <w:t>电力批发交易活动；</w:t>
      </w:r>
    </w:p>
    <w:p>
      <w:pPr>
        <w:widowControl/>
        <w:spacing w:after="0" w:line="580" w:lineRule="exact"/>
        <w:ind w:firstLine="640"/>
        <w:rPr>
          <w:rFonts w:ascii="仿宋_GB2312" w:eastAsia="仿宋_GB2312"/>
          <w:color w:val="0000FF"/>
          <w:sz w:val="32"/>
          <w:szCs w:val="32"/>
        </w:rPr>
      </w:pPr>
      <w:r>
        <w:rPr>
          <w:rFonts w:hint="eastAsia" w:ascii="仿宋_GB2312" w:eastAsia="仿宋_GB2312"/>
          <w:sz w:val="32"/>
          <w:szCs w:val="32"/>
        </w:rPr>
        <w:t>（六）</w:t>
      </w:r>
      <w:r>
        <w:rPr>
          <w:rFonts w:hint="eastAsia" w:ascii="仿宋_GB2312" w:eastAsia="仿宋_GB2312"/>
          <w:sz w:val="32"/>
          <w:szCs w:val="32"/>
          <w:lang w:val="en-US" w:eastAsia="zh-CN"/>
        </w:rPr>
        <w:t>山东能源监管办</w:t>
      </w:r>
      <w:r>
        <w:rPr>
          <w:rFonts w:hint="eastAsia" w:ascii="仿宋_GB2312" w:eastAsia="仿宋_GB2312"/>
          <w:sz w:val="32"/>
          <w:szCs w:val="32"/>
        </w:rPr>
        <w:t>认定的其他情形。</w:t>
      </w:r>
    </w:p>
    <w:p>
      <w:pPr>
        <w:pStyle w:val="6"/>
        <w:widowControl/>
        <w:numPr>
          <w:ilvl w:val="1"/>
          <w:numId w:val="1"/>
        </w:numPr>
        <w:spacing w:after="0" w:line="580" w:lineRule="exact"/>
        <w:ind w:left="0" w:firstLine="640"/>
        <w:rPr>
          <w:rFonts w:hint="eastAsia"/>
        </w:rPr>
      </w:pPr>
      <w:r>
        <w:rPr>
          <w:rFonts w:hint="eastAsia"/>
        </w:rPr>
        <w:t>【市场运营关键岗位监管要求】</w:t>
      </w:r>
      <w:r>
        <w:rPr>
          <w:rFonts w:hint="eastAsia"/>
          <w:lang w:val="en-US" w:eastAsia="zh-CN"/>
        </w:rPr>
        <w:t>电网企业、</w:t>
      </w:r>
      <w:r>
        <w:rPr>
          <w:rFonts w:hint="eastAsia"/>
        </w:rPr>
        <w:t>市场运营机构应当规范市场</w:t>
      </w:r>
      <w:r>
        <w:t>运营业务</w:t>
      </w:r>
      <w:r>
        <w:rPr>
          <w:rFonts w:hint="eastAsia"/>
        </w:rPr>
        <w:t>关键岗位管理，动态掌握</w:t>
      </w:r>
      <w:r>
        <w:t>关键岗位人员情况</w:t>
      </w:r>
      <w:r>
        <w:rPr>
          <w:rFonts w:hint="eastAsia"/>
        </w:rPr>
        <w:t>。市场</w:t>
      </w:r>
      <w:r>
        <w:t>运营业务</w:t>
      </w:r>
      <w:r>
        <w:rPr>
          <w:rFonts w:hint="eastAsia"/>
        </w:rPr>
        <w:t xml:space="preserve">关键岗位人员，是指运营机构董事会成员、高级管理岗位和市场运营业务核心岗位，包括但不限于： </w:t>
      </w:r>
    </w:p>
    <w:p>
      <w:pPr>
        <w:pStyle w:val="6"/>
        <w:widowControl/>
        <w:spacing w:after="0" w:line="580" w:lineRule="exact"/>
        <w:ind w:left="0" w:leftChars="0" w:firstLine="640" w:firstLineChars="200"/>
        <w:rPr>
          <w:rFonts w:hint="eastAsia"/>
        </w:rPr>
      </w:pPr>
      <w:r>
        <w:rPr>
          <w:rFonts w:hint="eastAsia"/>
        </w:rPr>
        <w:t>（一）市场运营机构董事、高级管理人员；</w:t>
      </w:r>
    </w:p>
    <w:p>
      <w:pPr>
        <w:widowControl/>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（二）从事市场注册管理、</w:t>
      </w:r>
      <w:r>
        <w:rPr>
          <w:rFonts w:ascii="仿宋_GB2312" w:hAnsi="仿宋_GB2312" w:eastAsia="仿宋_GB2312" w:cs="仿宋_GB2312"/>
          <w:sz w:val="32"/>
          <w:szCs w:val="32"/>
        </w:rPr>
        <w:t>交易组织、</w:t>
      </w:r>
      <w:r>
        <w:rPr>
          <w:rFonts w:hint="eastAsia" w:ascii="仿宋_GB2312" w:hAnsi="仿宋_GB2312" w:eastAsia="仿宋_GB2312" w:cs="仿宋_GB2312"/>
          <w:sz w:val="32"/>
          <w:szCs w:val="32"/>
        </w:rPr>
        <w:t>交易结算和市场信息管理等</w:t>
      </w:r>
      <w:r>
        <w:rPr>
          <w:rFonts w:hint="eastAsia" w:ascii="仿宋_GB2312" w:hAnsi="仿宋_GB2312" w:eastAsia="仿宋_GB2312" w:cs="仿宋_GB2312"/>
          <w:sz w:val="32"/>
          <w:szCs w:val="32"/>
          <w:lang w:val="en-US" w:eastAsia="zh-CN"/>
        </w:rPr>
        <w:t>市场运营</w:t>
      </w:r>
      <w:r>
        <w:rPr>
          <w:rFonts w:hint="eastAsia" w:ascii="仿宋_GB2312" w:hAnsi="仿宋_GB2312" w:eastAsia="仿宋_GB2312" w:cs="仿宋_GB2312"/>
          <w:sz w:val="32"/>
          <w:szCs w:val="32"/>
        </w:rPr>
        <w:t>业务的岗位和人员；</w:t>
      </w:r>
    </w:p>
    <w:p>
      <w:pPr>
        <w:widowControl/>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（三）从事运行</w:t>
      </w:r>
      <w:r>
        <w:rPr>
          <w:rFonts w:hint="eastAsia" w:ascii="仿宋_GB2312" w:hAnsi="仿宋_GB2312" w:eastAsia="仿宋_GB2312" w:cs="仿宋_GB2312"/>
          <w:sz w:val="32"/>
          <w:szCs w:val="32"/>
          <w:lang w:val="en-US" w:eastAsia="zh-CN"/>
        </w:rPr>
        <w:t>方式</w:t>
      </w:r>
      <w:r>
        <w:rPr>
          <w:rFonts w:hint="eastAsia" w:ascii="仿宋_GB2312" w:hAnsi="仿宋_GB2312" w:eastAsia="仿宋_GB2312" w:cs="仿宋_GB2312"/>
          <w:sz w:val="32"/>
          <w:szCs w:val="32"/>
        </w:rPr>
        <w:t>专业、电网调度专业、电力市场管理专业等核心业务的岗位和人员；</w:t>
      </w:r>
    </w:p>
    <w:p>
      <w:pPr>
        <w:widowControl/>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（四）其他因履行市场运营工作职责获取电力市场交易内幕信息的工作人员。</w:t>
      </w:r>
    </w:p>
    <w:p>
      <w:pPr>
        <w:pStyle w:val="6"/>
        <w:numPr>
          <w:ilvl w:val="1"/>
          <w:numId w:val="1"/>
        </w:numPr>
        <w:spacing w:after="0" w:line="580" w:lineRule="exact"/>
        <w:ind w:left="0" w:firstLine="640"/>
        <w:rPr>
          <w:rFonts w:hint="eastAsia"/>
        </w:rPr>
      </w:pPr>
      <w:r>
        <w:rPr>
          <w:rFonts w:hint="eastAsia"/>
        </w:rPr>
        <w:t>【市场注册监管要求】电力交易机构</w:t>
      </w:r>
      <w:r>
        <w:t>应当</w:t>
      </w:r>
      <w:r>
        <w:rPr>
          <w:rFonts w:hint="eastAsia"/>
        </w:rPr>
        <w:t>规范</w:t>
      </w:r>
      <w:r>
        <w:t>市场注册管理</w:t>
      </w:r>
      <w:r>
        <w:rPr>
          <w:rFonts w:hint="eastAsia"/>
        </w:rPr>
        <w:t>，</w:t>
      </w:r>
      <w:r>
        <w:rPr>
          <w:rFonts w:hAnsi="仿宋" w:cs="仿宋"/>
        </w:rPr>
        <w:t>定期组织核</w:t>
      </w:r>
      <w:r>
        <w:rPr>
          <w:rFonts w:hint="eastAsia" w:hAnsi="仿宋" w:cs="仿宋"/>
        </w:rPr>
        <w:t>查</w:t>
      </w:r>
      <w:r>
        <w:rPr>
          <w:rFonts w:hint="eastAsia" w:hAnsi="仿宋" w:cs="仿宋"/>
          <w:lang w:eastAsia="zh-CN"/>
        </w:rPr>
        <w:t>电力交易主体</w:t>
      </w:r>
      <w:r>
        <w:rPr>
          <w:rFonts w:hAnsi="仿宋" w:cs="仿宋"/>
        </w:rPr>
        <w:t>持续满足</w:t>
      </w:r>
      <w:r>
        <w:rPr>
          <w:rFonts w:hint="eastAsia" w:hAnsi="仿宋" w:cs="仿宋"/>
        </w:rPr>
        <w:t>注册</w:t>
      </w:r>
      <w:r>
        <w:rPr>
          <w:rFonts w:hAnsi="仿宋" w:cs="仿宋"/>
        </w:rPr>
        <w:t>条件</w:t>
      </w:r>
      <w:r>
        <w:rPr>
          <w:rFonts w:hint="eastAsia" w:hAnsi="仿宋" w:cs="仿宋"/>
        </w:rPr>
        <w:t>情况，对市场注册违规和失信行为按照有关规定处理</w:t>
      </w:r>
      <w:r>
        <w:rPr>
          <w:rFonts w:hint="eastAsia" w:hAnsi="仿宋" w:cs="仿宋"/>
          <w:lang w:eastAsia="zh-CN"/>
        </w:rPr>
        <w:t>。</w:t>
      </w:r>
      <w:r>
        <w:rPr>
          <w:rFonts w:hint="eastAsia"/>
        </w:rPr>
        <w:t>不得出现以下</w:t>
      </w:r>
      <w:r>
        <w:t>情形</w:t>
      </w:r>
      <w:r>
        <w:rPr>
          <w:rFonts w:hint="eastAsia"/>
        </w:rPr>
        <w:t>：</w:t>
      </w:r>
    </w:p>
    <w:p>
      <w:pPr>
        <w:pStyle w:val="6"/>
        <w:spacing w:after="0" w:line="580" w:lineRule="exact"/>
        <w:ind w:firstLine="640"/>
        <w:rPr>
          <w:rFonts w:hint="eastAsia" w:hAnsi="仿宋" w:cs="仿宋"/>
        </w:rPr>
      </w:pPr>
      <w:r>
        <w:rPr>
          <w:rFonts w:hint="eastAsia" w:hAnsi="仿宋" w:cs="仿宋"/>
        </w:rPr>
        <w:t>（一）为</w:t>
      </w:r>
      <w:r>
        <w:rPr>
          <w:rFonts w:hAnsi="仿宋" w:cs="仿宋"/>
        </w:rPr>
        <w:t>不符合市场</w:t>
      </w:r>
      <w:r>
        <w:rPr>
          <w:rFonts w:hint="eastAsia" w:hAnsi="仿宋" w:cs="仿宋"/>
        </w:rPr>
        <w:t>准入</w:t>
      </w:r>
      <w:r>
        <w:rPr>
          <w:rFonts w:hAnsi="仿宋" w:cs="仿宋"/>
        </w:rPr>
        <w:t>条件</w:t>
      </w:r>
      <w:r>
        <w:rPr>
          <w:rFonts w:hint="eastAsia" w:hAnsi="仿宋" w:cs="仿宋"/>
        </w:rPr>
        <w:t>的企业</w:t>
      </w:r>
      <w:r>
        <w:rPr>
          <w:rFonts w:hAnsi="仿宋" w:cs="仿宋"/>
        </w:rPr>
        <w:t>办理市场注册</w:t>
      </w:r>
      <w:r>
        <w:rPr>
          <w:rFonts w:hint="eastAsia" w:hAnsi="仿宋" w:cs="仿宋"/>
        </w:rPr>
        <w:t>；</w:t>
      </w:r>
    </w:p>
    <w:p>
      <w:pPr>
        <w:pStyle w:val="6"/>
        <w:spacing w:after="0" w:line="580" w:lineRule="exact"/>
        <w:ind w:firstLine="640"/>
        <w:rPr>
          <w:rFonts w:hint="eastAsia"/>
        </w:rPr>
      </w:pPr>
      <w:r>
        <w:rPr>
          <w:rFonts w:hint="eastAsia"/>
        </w:rPr>
        <w:t>（二）</w:t>
      </w:r>
      <w:r>
        <w:rPr>
          <w:rFonts w:hint="eastAsia"/>
          <w:lang w:val="en-US" w:eastAsia="zh-CN"/>
        </w:rPr>
        <w:t>设置不合理和歧视性条件，或</w:t>
      </w:r>
      <w:r>
        <w:rPr>
          <w:rFonts w:hint="eastAsia"/>
        </w:rPr>
        <w:t>无正当理由拒绝</w:t>
      </w:r>
      <w:r>
        <w:t>受理</w:t>
      </w:r>
      <w:r>
        <w:rPr>
          <w:rFonts w:hint="eastAsia"/>
        </w:rPr>
        <w:t>符合</w:t>
      </w:r>
      <w:r>
        <w:t>市场准入条件企业</w:t>
      </w:r>
      <w:r>
        <w:rPr>
          <w:rFonts w:hint="eastAsia"/>
        </w:rPr>
        <w:t>提交的</w:t>
      </w:r>
      <w:r>
        <w:t>注册</w:t>
      </w:r>
      <w:r>
        <w:rPr>
          <w:rFonts w:hint="eastAsia"/>
        </w:rPr>
        <w:t>业务</w:t>
      </w:r>
      <w:r>
        <w:t>申请</w:t>
      </w:r>
      <w:r>
        <w:rPr>
          <w:rFonts w:hint="eastAsia"/>
        </w:rPr>
        <w:t>；</w:t>
      </w:r>
    </w:p>
    <w:p>
      <w:pPr>
        <w:pStyle w:val="6"/>
        <w:spacing w:after="0" w:line="580" w:lineRule="exact"/>
        <w:ind w:firstLine="640"/>
        <w:rPr>
          <w:rFonts w:hint="eastAsia"/>
        </w:rPr>
      </w:pPr>
      <w:r>
        <w:rPr>
          <w:rFonts w:hint="eastAsia" w:hAnsi="仿宋" w:cs="仿宋"/>
        </w:rPr>
        <w:t>（三）未</w:t>
      </w:r>
      <w:r>
        <w:rPr>
          <w:rFonts w:hAnsi="仿宋" w:cs="仿宋"/>
        </w:rPr>
        <w:t>按规定</w:t>
      </w:r>
      <w:r>
        <w:rPr>
          <w:rFonts w:hint="eastAsia" w:hAnsi="仿宋" w:cs="仿宋"/>
        </w:rPr>
        <w:t>时限办理</w:t>
      </w:r>
      <w:r>
        <w:rPr>
          <w:rFonts w:hint="eastAsia"/>
        </w:rPr>
        <w:t>市场注册业务；</w:t>
      </w:r>
    </w:p>
    <w:p>
      <w:pPr>
        <w:pStyle w:val="6"/>
        <w:spacing w:after="0" w:line="580" w:lineRule="exact"/>
        <w:ind w:firstLine="640"/>
        <w:rPr>
          <w:rFonts w:hint="eastAsia"/>
        </w:rPr>
      </w:pPr>
      <w:r>
        <w:rPr>
          <w:rFonts w:hint="eastAsia" w:hAnsi="仿宋" w:cs="仿宋"/>
        </w:rPr>
        <w:t>（四）能源</w:t>
      </w:r>
      <w:r>
        <w:rPr>
          <w:rFonts w:hAnsi="仿宋" w:cs="仿宋"/>
        </w:rPr>
        <w:t>监管机构</w:t>
      </w:r>
      <w:r>
        <w:rPr>
          <w:rFonts w:hint="eastAsia" w:hAnsi="仿宋" w:cs="仿宋"/>
        </w:rPr>
        <w:t>认定</w:t>
      </w:r>
      <w:r>
        <w:rPr>
          <w:rFonts w:hAnsi="仿宋" w:cs="仿宋"/>
        </w:rPr>
        <w:t>的</w:t>
      </w:r>
      <w:r>
        <w:rPr>
          <w:rFonts w:hint="eastAsia" w:hAnsi="仿宋" w:cs="仿宋"/>
        </w:rPr>
        <w:t>其他注册管理违规</w:t>
      </w:r>
      <w:r>
        <w:rPr>
          <w:rFonts w:hAnsi="仿宋" w:cs="仿宋"/>
        </w:rPr>
        <w:t>情形</w:t>
      </w:r>
      <w:r>
        <w:rPr>
          <w:rFonts w:hint="eastAsia" w:hAnsi="仿宋" w:cs="仿宋"/>
        </w:rPr>
        <w:t>。</w:t>
      </w:r>
    </w:p>
    <w:p>
      <w:pPr>
        <w:pStyle w:val="6"/>
        <w:numPr>
          <w:ilvl w:val="1"/>
          <w:numId w:val="1"/>
        </w:numPr>
        <w:spacing w:after="0" w:line="580" w:lineRule="exact"/>
        <w:ind w:left="0" w:firstLine="640"/>
        <w:rPr>
          <w:rFonts w:hint="eastAsia"/>
        </w:rPr>
      </w:pPr>
      <w:r>
        <w:rPr>
          <w:rFonts w:hint="eastAsia"/>
        </w:rPr>
        <w:t>【交易组织与结算监管要求】</w:t>
      </w:r>
      <w:r>
        <w:rPr>
          <w:rFonts w:hint="eastAsia"/>
          <w:lang w:val="en-US" w:eastAsia="zh-CN"/>
        </w:rPr>
        <w:t>电网企业、</w:t>
      </w:r>
      <w:r>
        <w:rPr>
          <w:rFonts w:hint="eastAsia"/>
        </w:rPr>
        <w:t>市场运营机构应当严格按照市场规则组织各类交易及结算，出现下列情形之一的视为未按照市场规则组织交易和结算：</w:t>
      </w:r>
    </w:p>
    <w:p>
      <w:pPr>
        <w:pStyle w:val="6"/>
        <w:spacing w:after="0" w:line="580" w:lineRule="exact"/>
        <w:ind w:firstLine="640"/>
        <w:rPr>
          <w:rFonts w:hint="eastAsia"/>
        </w:rPr>
      </w:pPr>
      <w:r>
        <w:rPr>
          <w:rFonts w:hint="eastAsia"/>
        </w:rPr>
        <w:t>（一）未在</w:t>
      </w:r>
      <w:r>
        <w:t>规定的</w:t>
      </w:r>
      <w:r>
        <w:rPr>
          <w:rFonts w:hint="eastAsia"/>
        </w:rPr>
        <w:t>时间</w:t>
      </w:r>
      <w:r>
        <w:t>组织交易</w:t>
      </w:r>
      <w:r>
        <w:rPr>
          <w:rFonts w:hint="eastAsia"/>
        </w:rPr>
        <w:t>；</w:t>
      </w:r>
    </w:p>
    <w:p>
      <w:pPr>
        <w:pStyle w:val="6"/>
        <w:spacing w:after="0" w:line="580" w:lineRule="exact"/>
        <w:ind w:firstLine="640"/>
        <w:rPr>
          <w:rFonts w:hint="eastAsia"/>
        </w:rPr>
      </w:pPr>
      <w:r>
        <w:rPr>
          <w:rFonts w:hint="eastAsia"/>
        </w:rPr>
        <w:t>（二）</w:t>
      </w:r>
      <w:r>
        <w:t>未</w:t>
      </w:r>
      <w:r>
        <w:rPr>
          <w:rFonts w:hint="eastAsia"/>
        </w:rPr>
        <w:t>按</w:t>
      </w:r>
      <w:r>
        <w:t>规则形成</w:t>
      </w:r>
      <w:r>
        <w:rPr>
          <w:rFonts w:hint="eastAsia"/>
          <w:lang w:val="en-US" w:eastAsia="zh-CN"/>
        </w:rPr>
        <w:t>或无故未执行</w:t>
      </w:r>
      <w:r>
        <w:t>交易结果；</w:t>
      </w:r>
    </w:p>
    <w:p>
      <w:pPr>
        <w:pStyle w:val="6"/>
        <w:spacing w:after="0" w:line="580" w:lineRule="exact"/>
        <w:ind w:firstLine="640"/>
        <w:rPr>
          <w:rFonts w:hint="eastAsia"/>
        </w:rPr>
      </w:pPr>
      <w:r>
        <w:rPr>
          <w:rFonts w:hint="eastAsia"/>
        </w:rPr>
        <w:t>（三）</w:t>
      </w:r>
      <w:r>
        <w:t>未按</w:t>
      </w:r>
      <w:r>
        <w:rPr>
          <w:rFonts w:hint="eastAsia"/>
        </w:rPr>
        <w:t>规则要求</w:t>
      </w:r>
      <w:r>
        <w:t>进行市场结算</w:t>
      </w:r>
      <w:r>
        <w:rPr>
          <w:rFonts w:hint="eastAsia"/>
        </w:rPr>
        <w:t>；</w:t>
      </w:r>
    </w:p>
    <w:p>
      <w:pPr>
        <w:pStyle w:val="6"/>
        <w:spacing w:after="0" w:line="580" w:lineRule="exact"/>
        <w:ind w:firstLine="640"/>
        <w:rPr>
          <w:rFonts w:hint="eastAsia"/>
        </w:rPr>
      </w:pPr>
      <w:r>
        <w:rPr>
          <w:rFonts w:hint="eastAsia"/>
        </w:rPr>
        <w:t>（四）未及时处理</w:t>
      </w:r>
      <w:r>
        <w:rPr>
          <w:rFonts w:hint="eastAsia"/>
          <w:lang w:eastAsia="zh-CN"/>
        </w:rPr>
        <w:t>电力交易主体</w:t>
      </w:r>
      <w:r>
        <w:rPr>
          <w:rFonts w:hint="eastAsia"/>
        </w:rPr>
        <w:t>按市场规则规定提出的</w:t>
      </w:r>
      <w:r>
        <w:rPr>
          <w:rFonts w:hint="eastAsia"/>
          <w:lang w:val="en-US" w:eastAsia="zh-CN"/>
        </w:rPr>
        <w:t>争议事项</w:t>
      </w:r>
      <w:r>
        <w:rPr>
          <w:rFonts w:hint="eastAsia"/>
        </w:rPr>
        <w:t>；</w:t>
      </w:r>
    </w:p>
    <w:p>
      <w:pPr>
        <w:pStyle w:val="6"/>
        <w:spacing w:after="0" w:line="580" w:lineRule="exact"/>
        <w:ind w:firstLine="640"/>
        <w:rPr>
          <w:rFonts w:hint="eastAsia"/>
        </w:rPr>
      </w:pPr>
      <w:r>
        <w:rPr>
          <w:rFonts w:hint="eastAsia"/>
        </w:rPr>
        <w:t>（</w:t>
      </w:r>
      <w:r>
        <w:rPr>
          <w:rFonts w:hint="eastAsia"/>
          <w:lang w:val="en-US" w:eastAsia="zh-CN"/>
        </w:rPr>
        <w:t>五</w:t>
      </w:r>
      <w:r>
        <w:rPr>
          <w:rFonts w:hint="eastAsia"/>
        </w:rPr>
        <w:t>）违反</w:t>
      </w:r>
      <w:r>
        <w:t>市场规则的</w:t>
      </w:r>
      <w:r>
        <w:rPr>
          <w:rFonts w:hint="eastAsia"/>
        </w:rPr>
        <w:t>其他</w:t>
      </w:r>
      <w:r>
        <w:t>情形</w:t>
      </w:r>
      <w:r>
        <w:rPr>
          <w:rFonts w:hint="eastAsia"/>
        </w:rPr>
        <w:t>。</w:t>
      </w:r>
    </w:p>
    <w:p>
      <w:pPr>
        <w:pStyle w:val="6"/>
        <w:numPr>
          <w:ilvl w:val="1"/>
          <w:numId w:val="1"/>
        </w:numPr>
        <w:spacing w:after="0" w:line="580" w:lineRule="exact"/>
        <w:ind w:left="0" w:firstLine="640"/>
        <w:rPr>
          <w:rFonts w:hint="eastAsia" w:ascii="方正仿宋_GBK" w:hAnsi="方正仿宋_GBK" w:eastAsia="方正仿宋_GBK" w:cs="方正仿宋_GBK"/>
          <w:sz w:val="32"/>
          <w:szCs w:val="32"/>
        </w:rPr>
      </w:pPr>
      <w:r>
        <w:rPr>
          <w:rFonts w:hint="eastAsia"/>
        </w:rPr>
        <w:t>【</w:t>
      </w:r>
      <w:r>
        <w:rPr>
          <w:rFonts w:hint="eastAsia" w:hAnsi="仿宋" w:cs="仿宋"/>
        </w:rPr>
        <w:t>电力市场</w:t>
      </w:r>
      <w:r>
        <w:rPr>
          <w:rFonts w:hint="eastAsia" w:hAnsi="仿宋" w:cs="仿宋"/>
          <w:lang w:val="en-US" w:eastAsia="zh-CN"/>
        </w:rPr>
        <w:t>运营监测</w:t>
      </w:r>
      <w:r>
        <w:rPr>
          <w:rFonts w:hint="eastAsia" w:hAnsi="仿宋" w:cs="仿宋"/>
        </w:rPr>
        <w:t>监管要求</w:t>
      </w:r>
      <w:r>
        <w:rPr>
          <w:rFonts w:hint="eastAsia"/>
        </w:rPr>
        <w:t>】</w:t>
      </w:r>
      <w:r>
        <w:rPr>
          <w:rFonts w:hint="eastAsia"/>
          <w:lang w:val="en-US" w:eastAsia="zh-CN"/>
        </w:rPr>
        <w:t>市场运营机构应切实履行市场运营监测职责，</w:t>
      </w:r>
      <w:r>
        <w:rPr>
          <w:rFonts w:hint="eastAsia"/>
        </w:rPr>
        <w:t>设置或指定专门部门牵头负责市场监测分析工作</w:t>
      </w:r>
      <w:r>
        <w:rPr>
          <w:rFonts w:hint="eastAsia"/>
          <w:lang w:eastAsia="zh-CN"/>
        </w:rPr>
        <w:t>，</w:t>
      </w:r>
      <w:r>
        <w:rPr>
          <w:rFonts w:hint="eastAsia"/>
        </w:rPr>
        <w:t>建立相关工作制度，明确工作内容、工作程序和工作要求，持续完善监测指标体系和电力市场监测信息化系统。</w:t>
      </w:r>
      <w:r>
        <w:rPr>
          <w:rFonts w:hint="eastAsia"/>
          <w:lang w:val="en-US" w:eastAsia="zh-CN"/>
        </w:rPr>
        <w:t>应</w:t>
      </w:r>
      <w:r>
        <w:rPr>
          <w:rFonts w:hint="eastAsia" w:ascii="仿宋_GB2312" w:hAnsi="仿宋_GB2312" w:eastAsia="仿宋_GB2312" w:cs="仿宋_GB2312"/>
          <w:bCs/>
          <w:sz w:val="32"/>
          <w:szCs w:val="32"/>
        </w:rPr>
        <w:t>对</w:t>
      </w:r>
      <w:r>
        <w:rPr>
          <w:rFonts w:hint="eastAsia" w:ascii="仿宋_GB2312" w:hAnsi="仿宋_GB2312" w:eastAsia="仿宋_GB2312" w:cs="仿宋_GB2312"/>
          <w:bCs/>
          <w:sz w:val="32"/>
          <w:szCs w:val="32"/>
          <w:lang w:val="en-US" w:eastAsia="zh-CN"/>
        </w:rPr>
        <w:t>电力交易主体</w:t>
      </w:r>
      <w:r>
        <w:rPr>
          <w:rFonts w:hint="eastAsia" w:ascii="仿宋_GB2312" w:hAnsi="仿宋_GB2312" w:eastAsia="仿宋_GB2312" w:cs="仿宋_GB2312"/>
          <w:bCs/>
          <w:sz w:val="32"/>
          <w:szCs w:val="32"/>
        </w:rPr>
        <w:t>异常行为进行监测，包括但不限于</w:t>
      </w:r>
      <w:r>
        <w:rPr>
          <w:rFonts w:hint="eastAsia" w:ascii="方正仿宋_GBK" w:hAnsi="方正仿宋_GBK" w:eastAsia="方正仿宋_GBK" w:cs="方正仿宋_GBK"/>
          <w:sz w:val="32"/>
          <w:szCs w:val="32"/>
        </w:rPr>
        <w:t>行使市场</w:t>
      </w:r>
      <w:r>
        <w:rPr>
          <w:rFonts w:hint="eastAsia" w:ascii="方正仿宋_GBK" w:hAnsi="方正仿宋_GBK" w:eastAsia="方正仿宋_GBK" w:cs="方正仿宋_GBK"/>
          <w:sz w:val="32"/>
          <w:szCs w:val="32"/>
          <w:lang w:val="en-US" w:eastAsia="zh-CN"/>
        </w:rPr>
        <w:t>操纵</w:t>
      </w:r>
      <w:r>
        <w:rPr>
          <w:rFonts w:hint="eastAsia" w:ascii="方正仿宋_GBK" w:hAnsi="方正仿宋_GBK" w:eastAsia="方正仿宋_GBK" w:cs="方正仿宋_GBK"/>
          <w:sz w:val="32"/>
          <w:szCs w:val="32"/>
        </w:rPr>
        <w:t>力、串通报价、</w:t>
      </w:r>
      <w:r>
        <w:rPr>
          <w:rFonts w:hint="eastAsia" w:ascii="方正仿宋_GBK" w:hAnsi="方正仿宋_GBK" w:eastAsia="方正仿宋_GBK" w:cs="方正仿宋_GBK"/>
          <w:sz w:val="32"/>
          <w:szCs w:val="32"/>
          <w:lang w:val="en-US" w:eastAsia="zh-CN"/>
        </w:rPr>
        <w:t>违规交易、其他</w:t>
      </w:r>
      <w:r>
        <w:rPr>
          <w:rFonts w:hint="eastAsia" w:ascii="方正仿宋_GBK" w:hAnsi="方正仿宋_GBK" w:eastAsia="方正仿宋_GBK" w:cs="方正仿宋_GBK"/>
          <w:sz w:val="32"/>
          <w:szCs w:val="32"/>
        </w:rPr>
        <w:t>不正当竞争等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应制定电力市场运行监测实施细则，明确监测事项和参数阈值、处置流程，经审定后执行。对于发现的违规行为和重大问题及时报告山东能源监管办、省发展改革委和省能源局等主管部门。</w:t>
      </w:r>
    </w:p>
    <w:p>
      <w:pPr>
        <w:pStyle w:val="6"/>
        <w:numPr>
          <w:ilvl w:val="1"/>
          <w:numId w:val="1"/>
        </w:numPr>
        <w:spacing w:after="0" w:line="580" w:lineRule="exact"/>
        <w:ind w:left="0" w:firstLine="640"/>
        <w:rPr>
          <w:rFonts w:hint="default" w:hAnsi="仿宋" w:cs="宋体"/>
          <w:color w:val="000000"/>
          <w:kern w:val="0"/>
          <w:lang w:val="en-US"/>
        </w:rPr>
      </w:pPr>
      <w:r>
        <w:rPr>
          <w:rFonts w:hint="eastAsia"/>
        </w:rPr>
        <w:t>【</w:t>
      </w:r>
      <w:r>
        <w:rPr>
          <w:rFonts w:hint="eastAsia" w:hAnsi="仿宋" w:cs="仿宋"/>
        </w:rPr>
        <w:t>电力市场</w:t>
      </w:r>
      <w:r>
        <w:rPr>
          <w:rFonts w:hint="eastAsia" w:hAnsi="仿宋" w:cs="仿宋"/>
          <w:lang w:val="en-US" w:eastAsia="zh-CN"/>
        </w:rPr>
        <w:t>风险防控</w:t>
      </w:r>
      <w:r>
        <w:rPr>
          <w:rFonts w:hint="eastAsia" w:hAnsi="仿宋" w:cs="仿宋"/>
        </w:rPr>
        <w:t>监管要求</w:t>
      </w:r>
      <w:r>
        <w:rPr>
          <w:rFonts w:hint="eastAsia"/>
        </w:rPr>
        <w:t>】</w:t>
      </w:r>
      <w:r>
        <w:rPr>
          <w:rFonts w:hint="eastAsia"/>
          <w:lang w:val="en-US" w:eastAsia="zh-CN"/>
        </w:rPr>
        <w:t>电网企业、市场运营机构应</w:t>
      </w:r>
      <w:r>
        <w:rPr>
          <w:rFonts w:hint="eastAsia"/>
          <w:lang w:eastAsia="zh-CN"/>
        </w:rPr>
        <w:t>建立健全相应的市场风险防控</w:t>
      </w:r>
      <w:r>
        <w:rPr>
          <w:rFonts w:hint="eastAsia"/>
          <w:lang w:val="en-US" w:eastAsia="zh-CN"/>
        </w:rPr>
        <w:t>制度</w:t>
      </w:r>
      <w:r>
        <w:rPr>
          <w:rFonts w:hint="eastAsia"/>
        </w:rPr>
        <w:t>，编制市场风险处置预案，</w:t>
      </w:r>
      <w:r>
        <w:rPr>
          <w:rFonts w:hint="eastAsia"/>
          <w:lang w:eastAsia="zh-CN"/>
        </w:rPr>
        <w:t>分类明确具体的风险</w:t>
      </w:r>
      <w:r>
        <w:rPr>
          <w:rFonts w:hint="eastAsia"/>
          <w:lang w:val="en-US" w:eastAsia="zh-CN"/>
        </w:rPr>
        <w:t>点</w:t>
      </w:r>
      <w:r>
        <w:rPr>
          <w:rFonts w:hint="eastAsia"/>
          <w:lang w:eastAsia="zh-CN"/>
        </w:rPr>
        <w:t>、风险级别、防控措施、各方职责和处置程序等内容。</w:t>
      </w:r>
      <w:r>
        <w:rPr>
          <w:rFonts w:hint="eastAsia"/>
          <w:lang w:val="en-US" w:eastAsia="zh-CN"/>
        </w:rPr>
        <w:t>应建立市场风险防控工作机制，明确市场风险处置流程，定期召开分析例会，加强信息披露，形成专题报告。应</w:t>
      </w:r>
      <w:r>
        <w:rPr>
          <w:rFonts w:hint="eastAsia"/>
          <w:lang w:eastAsia="zh-CN"/>
        </w:rPr>
        <w:t>做好市场风险动态监控，搭建风险监测和防控信息化平台，提高市场风险处置效率。</w:t>
      </w:r>
    </w:p>
    <w:p>
      <w:pPr>
        <w:pStyle w:val="6"/>
        <w:numPr>
          <w:ilvl w:val="1"/>
          <w:numId w:val="1"/>
        </w:numPr>
        <w:spacing w:after="0" w:line="580" w:lineRule="exact"/>
        <w:ind w:left="0" w:firstLine="640"/>
        <w:rPr>
          <w:rFonts w:hint="eastAsia" w:hAnsi="仿宋" w:cs="宋体"/>
          <w:color w:val="000000"/>
          <w:kern w:val="0"/>
        </w:rPr>
      </w:pPr>
      <w:r>
        <w:rPr>
          <w:rFonts w:hint="eastAsia"/>
        </w:rPr>
        <w:t>【</w:t>
      </w:r>
      <w:r>
        <w:rPr>
          <w:rFonts w:hint="eastAsia" w:hAnsi="仿宋" w:cs="仿宋"/>
        </w:rPr>
        <w:t>电力市场干预监管要求</w:t>
      </w:r>
      <w:r>
        <w:rPr>
          <w:rFonts w:hint="eastAsia"/>
        </w:rPr>
        <w:t>】</w:t>
      </w:r>
      <w:r>
        <w:rPr>
          <w:rFonts w:hint="eastAsia" w:hAnsi="仿宋" w:cs="宋体"/>
          <w:color w:val="000000"/>
          <w:kern w:val="0"/>
        </w:rPr>
        <w:t>市场运营</w:t>
      </w:r>
      <w:r>
        <w:rPr>
          <w:rFonts w:hAnsi="仿宋" w:cs="宋体"/>
          <w:color w:val="000000"/>
          <w:kern w:val="0"/>
        </w:rPr>
        <w:t>机构</w:t>
      </w:r>
      <w:r>
        <w:rPr>
          <w:rFonts w:hint="eastAsia" w:hAnsi="仿宋" w:cs="宋体"/>
          <w:color w:val="000000"/>
          <w:kern w:val="0"/>
        </w:rPr>
        <w:t>为确保电网安全稳定运行和应对电力运行突发情况，可以采取临时开停机、修改断面限额、改变设备运行状态、暂不按规则组织交易等手段进行市场干预。</w:t>
      </w:r>
      <w:r>
        <w:rPr>
          <w:rFonts w:hint="eastAsia" w:hAnsi="仿宋" w:cs="宋体"/>
          <w:color w:val="000000"/>
          <w:kern w:val="0"/>
          <w:lang w:val="en-US" w:eastAsia="zh-CN"/>
        </w:rPr>
        <w:t>不得出现以下情形：</w:t>
      </w:r>
    </w:p>
    <w:p>
      <w:pPr>
        <w:numPr>
          <w:ilvl w:val="-1"/>
          <w:numId w:val="0"/>
        </w:numPr>
        <w:tabs>
          <w:tab w:val="left" w:pos="0"/>
        </w:tabs>
        <w:spacing w:after="0" w:line="580" w:lineRule="exact"/>
        <w:ind w:leftChars="0"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w:t>
      </w:r>
      <w:r>
        <w:rPr>
          <w:rFonts w:hint="eastAsia" w:ascii="方正仿宋_GBK" w:hAnsi="方正仿宋_GBK" w:eastAsia="方正仿宋_GBK" w:cs="方正仿宋_GBK"/>
          <w:color w:val="auto"/>
          <w:sz w:val="32"/>
          <w:szCs w:val="32"/>
          <w:lang w:val="en-US" w:eastAsia="zh-CN"/>
        </w:rPr>
        <w:t>未按照规则要求实施电力市场干预或滥用干预权限；未按要求向电力交易主体</w:t>
      </w:r>
      <w:r>
        <w:rPr>
          <w:rFonts w:hint="eastAsia" w:ascii="方正仿宋_GBK" w:hAnsi="方正仿宋_GBK" w:eastAsia="方正仿宋_GBK" w:cs="方正仿宋_GBK"/>
          <w:color w:val="auto"/>
          <w:sz w:val="32"/>
          <w:szCs w:val="32"/>
        </w:rPr>
        <w:t>公布干预原因。</w:t>
      </w:r>
    </w:p>
    <w:p>
      <w:pPr>
        <w:numPr>
          <w:ilvl w:val="-1"/>
          <w:numId w:val="0"/>
        </w:numPr>
        <w:tabs>
          <w:tab w:val="left" w:pos="0"/>
        </w:tabs>
        <w:spacing w:after="0" w:line="580" w:lineRule="exact"/>
        <w:ind w:leftChars="0"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二</w:t>
      </w:r>
      <w:r>
        <w:rPr>
          <w:rFonts w:hint="eastAsia" w:ascii="方正仿宋_GBK" w:hAnsi="方正仿宋_GBK" w:eastAsia="方正仿宋_GBK" w:cs="方正仿宋_GBK"/>
          <w:color w:val="auto"/>
          <w:sz w:val="32"/>
          <w:szCs w:val="32"/>
        </w:rPr>
        <w:t>）干预或者中止电力市场期间，</w:t>
      </w:r>
      <w:r>
        <w:rPr>
          <w:rFonts w:hint="eastAsia" w:ascii="方正仿宋_GBK" w:hAnsi="方正仿宋_GBK" w:eastAsia="方正仿宋_GBK" w:cs="方正仿宋_GBK"/>
          <w:color w:val="auto"/>
          <w:sz w:val="32"/>
          <w:szCs w:val="32"/>
          <w:lang w:val="en-US" w:eastAsia="zh-CN"/>
        </w:rPr>
        <w:t>未</w:t>
      </w:r>
      <w:r>
        <w:rPr>
          <w:rFonts w:hint="eastAsia" w:ascii="方正仿宋_GBK" w:hAnsi="方正仿宋_GBK" w:eastAsia="方正仿宋_GBK" w:cs="方正仿宋_GBK"/>
          <w:color w:val="auto"/>
          <w:sz w:val="32"/>
          <w:szCs w:val="32"/>
        </w:rPr>
        <w:t>采取</w:t>
      </w:r>
      <w:r>
        <w:rPr>
          <w:rFonts w:hint="eastAsia" w:ascii="方正仿宋_GBK" w:hAnsi="方正仿宋_GBK" w:eastAsia="方正仿宋_GBK" w:cs="方正仿宋_GBK"/>
          <w:color w:val="auto"/>
          <w:sz w:val="32"/>
          <w:szCs w:val="32"/>
          <w:lang w:val="en-US" w:eastAsia="zh-CN"/>
        </w:rPr>
        <w:t>有效</w:t>
      </w:r>
      <w:r>
        <w:rPr>
          <w:rFonts w:hint="eastAsia" w:ascii="方正仿宋_GBK" w:hAnsi="方正仿宋_GBK" w:eastAsia="方正仿宋_GBK" w:cs="方正仿宋_GBK"/>
          <w:color w:val="auto"/>
          <w:sz w:val="32"/>
          <w:szCs w:val="32"/>
        </w:rPr>
        <w:t>措施保证电力系统安全，</w:t>
      </w:r>
      <w:r>
        <w:rPr>
          <w:rFonts w:hint="eastAsia" w:ascii="方正仿宋_GBK" w:hAnsi="方正仿宋_GBK" w:eastAsia="方正仿宋_GBK" w:cs="方正仿宋_GBK"/>
          <w:color w:val="auto"/>
          <w:sz w:val="32"/>
          <w:szCs w:val="32"/>
          <w:lang w:val="en-US" w:eastAsia="zh-CN"/>
        </w:rPr>
        <w:t>或未</w:t>
      </w:r>
      <w:r>
        <w:rPr>
          <w:rFonts w:hint="eastAsia" w:ascii="方正仿宋_GBK" w:hAnsi="方正仿宋_GBK" w:eastAsia="方正仿宋_GBK" w:cs="方正仿宋_GBK"/>
          <w:color w:val="auto"/>
          <w:sz w:val="32"/>
          <w:szCs w:val="32"/>
        </w:rPr>
        <w:t>记录</w:t>
      </w:r>
      <w:r>
        <w:rPr>
          <w:rFonts w:hint="eastAsia" w:ascii="方正仿宋_GBK" w:hAnsi="方正仿宋_GBK" w:eastAsia="方正仿宋_GBK" w:cs="方正仿宋_GBK"/>
          <w:color w:val="auto"/>
          <w:sz w:val="32"/>
          <w:szCs w:val="32"/>
          <w:lang w:val="en-US" w:eastAsia="zh-CN"/>
        </w:rPr>
        <w:t>并报告干预或中止情况</w:t>
      </w:r>
      <w:r>
        <w:rPr>
          <w:rFonts w:hint="eastAsia" w:ascii="方正仿宋_GBK" w:hAnsi="方正仿宋_GBK" w:eastAsia="方正仿宋_GBK" w:cs="方正仿宋_GBK"/>
          <w:color w:val="auto"/>
          <w:sz w:val="32"/>
          <w:szCs w:val="32"/>
        </w:rPr>
        <w:t>。</w:t>
      </w:r>
    </w:p>
    <w:p>
      <w:pPr>
        <w:widowControl/>
        <w:spacing w:after="0" w:line="580" w:lineRule="exact"/>
        <w:ind w:firstLine="640" w:firstLineChars="200"/>
        <w:rPr>
          <w:rFonts w:hint="eastAsia" w:ascii="仿宋_GB2312" w:hAnsi="仿宋" w:eastAsia="方正仿宋_GBK" w:cs="宋体"/>
          <w:color w:val="000000"/>
          <w:kern w:val="0"/>
          <w:sz w:val="32"/>
          <w:szCs w:val="32"/>
          <w:lang w:eastAsia="zh-CN"/>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三</w:t>
      </w:r>
      <w:r>
        <w:rPr>
          <w:rFonts w:hint="eastAsia" w:ascii="方正仿宋_GBK" w:hAnsi="方正仿宋_GBK" w:eastAsia="方正仿宋_GBK" w:cs="方正仿宋_GBK"/>
          <w:color w:val="auto"/>
          <w:sz w:val="32"/>
          <w:szCs w:val="32"/>
        </w:rPr>
        <w:t>）干预或中止结束后，</w:t>
      </w:r>
      <w:r>
        <w:rPr>
          <w:rFonts w:hint="eastAsia" w:ascii="方正仿宋_GBK" w:hAnsi="方正仿宋_GBK" w:eastAsia="方正仿宋_GBK" w:cs="方正仿宋_GBK"/>
          <w:color w:val="auto"/>
          <w:sz w:val="32"/>
          <w:szCs w:val="32"/>
          <w:lang w:val="en-US" w:eastAsia="zh-CN"/>
        </w:rPr>
        <w:t>未</w:t>
      </w:r>
      <w:r>
        <w:rPr>
          <w:rFonts w:hint="eastAsia" w:ascii="方正仿宋_GBK" w:hAnsi="方正仿宋_GBK" w:eastAsia="方正仿宋_GBK" w:cs="方正仿宋_GBK"/>
          <w:color w:val="auto"/>
          <w:sz w:val="32"/>
          <w:szCs w:val="32"/>
        </w:rPr>
        <w:t>及时恢复正常市场运行</w:t>
      </w:r>
      <w:r>
        <w:rPr>
          <w:rFonts w:hint="eastAsia" w:ascii="方正仿宋_GBK" w:hAnsi="方正仿宋_GBK" w:eastAsia="方正仿宋_GBK" w:cs="方正仿宋_GBK"/>
          <w:color w:val="auto"/>
          <w:sz w:val="32"/>
          <w:szCs w:val="32"/>
          <w:lang w:eastAsia="zh-CN"/>
        </w:rPr>
        <w:t>。</w:t>
      </w:r>
    </w:p>
    <w:p>
      <w:pPr>
        <w:pStyle w:val="6"/>
        <w:numPr>
          <w:ilvl w:val="1"/>
          <w:numId w:val="1"/>
        </w:numPr>
        <w:spacing w:after="0" w:line="580" w:lineRule="exact"/>
        <w:ind w:left="0" w:firstLine="707" w:firstLineChars="221"/>
        <w:rPr>
          <w:rFonts w:hint="eastAsia"/>
        </w:rPr>
      </w:pPr>
      <w:r>
        <w:rPr>
          <w:rFonts w:hint="eastAsia"/>
        </w:rPr>
        <w:t>【调度有关业务监管要求】电力调度</w:t>
      </w:r>
      <w:r>
        <w:t>机构</w:t>
      </w:r>
      <w:r>
        <w:rPr>
          <w:rFonts w:hint="eastAsia"/>
        </w:rPr>
        <w:t>应</w:t>
      </w:r>
      <w:r>
        <w:t>合理安排</w:t>
      </w:r>
      <w:r>
        <w:rPr>
          <w:rFonts w:hint="eastAsia"/>
        </w:rPr>
        <w:t>主网设施检修和电网</w:t>
      </w:r>
      <w:r>
        <w:t>运行方式，</w:t>
      </w:r>
      <w:r>
        <w:rPr>
          <w:rFonts w:hint="eastAsia"/>
        </w:rPr>
        <w:t>及时开展安全校核，</w:t>
      </w:r>
      <w:r>
        <w:rPr>
          <w:rFonts w:hint="eastAsia" w:ascii="方正仿宋_GBK" w:hAnsi="方正仿宋_GBK" w:eastAsia="方正仿宋_GBK" w:cs="方正仿宋_GBK"/>
          <w:sz w:val="32"/>
          <w:szCs w:val="32"/>
        </w:rPr>
        <w:t>按照规定公开、公平、公正地实施电力调度</w:t>
      </w:r>
      <w:r>
        <w:t>，保障电力系统的安全、优质、经济运行</w:t>
      </w:r>
      <w:r>
        <w:rPr>
          <w:rFonts w:hint="eastAsia"/>
        </w:rPr>
        <w:t>。</w:t>
      </w:r>
    </w:p>
    <w:p>
      <w:pPr>
        <w:pStyle w:val="6"/>
        <w:spacing w:after="0" w:line="580" w:lineRule="exact"/>
        <w:ind w:firstLine="640"/>
        <w:rPr>
          <w:rFonts w:hint="eastAsia"/>
        </w:rPr>
      </w:pPr>
      <w:r>
        <w:rPr>
          <w:rFonts w:hint="eastAsia"/>
        </w:rPr>
        <w:t>省级调度机构应记录并保存其平衡控制区内以下调度业务情况并定期进行事后总结分析。</w:t>
      </w:r>
    </w:p>
    <w:p>
      <w:pPr>
        <w:pStyle w:val="6"/>
        <w:spacing w:after="0" w:line="580" w:lineRule="exact"/>
        <w:ind w:firstLine="640"/>
        <w:rPr>
          <w:rFonts w:hint="eastAsia"/>
        </w:rPr>
      </w:pPr>
      <w:r>
        <w:rPr>
          <w:rFonts w:hint="eastAsia"/>
        </w:rPr>
        <w:t>（一）系统负荷</w:t>
      </w:r>
      <w:r>
        <w:t>预测</w:t>
      </w:r>
      <w:r>
        <w:rPr>
          <w:rFonts w:hint="eastAsia"/>
        </w:rPr>
        <w:t>、母线负荷预测情况及实际</w:t>
      </w:r>
      <w:r>
        <w:t>情况</w:t>
      </w:r>
      <w:r>
        <w:rPr>
          <w:rFonts w:hint="eastAsia"/>
        </w:rPr>
        <w:t>；</w:t>
      </w:r>
    </w:p>
    <w:p>
      <w:p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（二）运行正备用容量、负备用容量和调频、调峰容量需求安排情况；</w:t>
      </w:r>
    </w:p>
    <w:p>
      <w:p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（三）未直接参与市场交易机组总出力预测情况及实际出力情况；</w:t>
      </w:r>
      <w:r>
        <w:rPr>
          <w:rFonts w:ascii="仿宋_GB2312" w:hAnsi="仿宋_GB2312" w:eastAsia="仿宋_GB2312" w:cs="仿宋_GB2312"/>
          <w:sz w:val="32"/>
          <w:szCs w:val="32"/>
        </w:rPr>
        <w:t xml:space="preserve"> </w:t>
      </w:r>
    </w:p>
    <w:p>
      <w:p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（四）省间送（受）电安排及实际执行情况；</w:t>
      </w:r>
    </w:p>
    <w:p>
      <w:p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（五）必开（停）机组（群）设置的计算依据、结果；</w:t>
      </w:r>
    </w:p>
    <w:p>
      <w:p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（六）电网运行约束</w:t>
      </w:r>
      <w:r>
        <w:rPr>
          <w:rFonts w:hint="eastAsia" w:ascii="仿宋_GB2312" w:hAnsi="仿宋_GB2312" w:eastAsia="仿宋_GB2312" w:cs="仿宋_GB2312"/>
          <w:sz w:val="32"/>
          <w:szCs w:val="32"/>
          <w:lang w:val="en-US" w:eastAsia="zh-CN"/>
        </w:rPr>
        <w:t>及安全校核</w:t>
      </w:r>
      <w:r>
        <w:rPr>
          <w:rFonts w:hint="eastAsia" w:ascii="仿宋_GB2312" w:hAnsi="仿宋_GB2312" w:eastAsia="仿宋_GB2312" w:cs="仿宋_GB2312"/>
          <w:sz w:val="32"/>
          <w:szCs w:val="32"/>
        </w:rPr>
        <w:t>情况；</w:t>
      </w:r>
    </w:p>
    <w:p>
      <w:p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（七）发电调度计划及其执行情况；</w:t>
      </w:r>
    </w:p>
    <w:p>
      <w:p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（八）主电网内发输变电设施检修情况；</w:t>
      </w:r>
    </w:p>
    <w:p>
      <w:pPr>
        <w:spacing w:after="0" w:line="5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（九）省级调度机构认为需记录保存的、与电力市场运行相关的其他信息。</w:t>
      </w:r>
    </w:p>
    <w:p>
      <w:pPr>
        <w:pStyle w:val="6"/>
        <w:numPr>
          <w:ilvl w:val="1"/>
          <w:numId w:val="1"/>
        </w:numPr>
        <w:spacing w:after="0" w:line="580" w:lineRule="exact"/>
        <w:ind w:left="0" w:firstLine="640"/>
        <w:rPr>
          <w:rFonts w:hint="eastAsia" w:hAnsi="仿宋" w:cs="仿宋"/>
        </w:rPr>
      </w:pPr>
      <w:r>
        <w:rPr>
          <w:rFonts w:hint="eastAsia" w:hAnsi="仿宋" w:cs="仿宋"/>
        </w:rPr>
        <w:t>【电力市场技术支持系统监管要求】市场</w:t>
      </w:r>
      <w:r>
        <w:rPr>
          <w:rFonts w:hAnsi="仿宋" w:cs="仿宋"/>
        </w:rPr>
        <w:t>运营机构</w:t>
      </w:r>
      <w:r>
        <w:rPr>
          <w:rFonts w:hint="eastAsia" w:hAnsi="仿宋" w:cs="仿宋"/>
        </w:rPr>
        <w:t>按职责</w:t>
      </w:r>
      <w:r>
        <w:rPr>
          <w:rFonts w:hint="eastAsia" w:hAnsi="仿宋" w:cs="仿宋"/>
          <w:lang w:val="en-US" w:eastAsia="zh-CN"/>
        </w:rPr>
        <w:t>组织</w:t>
      </w:r>
      <w:r>
        <w:rPr>
          <w:rFonts w:hint="eastAsia" w:hAnsi="仿宋" w:cs="仿宋"/>
        </w:rPr>
        <w:t>电力</w:t>
      </w:r>
      <w:r>
        <w:rPr>
          <w:rFonts w:hAnsi="仿宋" w:cs="仿宋"/>
        </w:rPr>
        <w:t>市场技术支持</w:t>
      </w:r>
      <w:r>
        <w:rPr>
          <w:rFonts w:hint="eastAsia" w:hAnsi="仿宋" w:cs="仿宋"/>
        </w:rPr>
        <w:t>系统的建设、验收、运行、管理和维护。</w:t>
      </w:r>
    </w:p>
    <w:p>
      <w:pPr>
        <w:pStyle w:val="6"/>
        <w:spacing w:after="0" w:line="580" w:lineRule="exact"/>
        <w:ind w:firstLine="640"/>
        <w:rPr>
          <w:rFonts w:hint="eastAsia"/>
        </w:rPr>
      </w:pPr>
      <w:r>
        <w:rPr>
          <w:rFonts w:hint="eastAsia" w:hAnsi="仿宋" w:cs="仿宋"/>
        </w:rPr>
        <w:t>电力市场</w:t>
      </w:r>
      <w:r>
        <w:rPr>
          <w:rFonts w:hint="eastAsia"/>
        </w:rPr>
        <w:t>技术</w:t>
      </w:r>
      <w:r>
        <w:t>支持系统</w:t>
      </w:r>
      <w:r>
        <w:rPr>
          <w:rFonts w:hint="eastAsia"/>
        </w:rPr>
        <w:t>建设</w:t>
      </w:r>
      <w:r>
        <w:t>和运</w:t>
      </w:r>
      <w:r>
        <w:rPr>
          <w:rFonts w:hint="eastAsia"/>
        </w:rPr>
        <w:t>行应</w:t>
      </w:r>
      <w:r>
        <w:rPr>
          <w:rFonts w:hint="eastAsia"/>
          <w:lang w:val="en-US" w:eastAsia="zh-CN"/>
        </w:rPr>
        <w:t>符合国家有关规定和</w:t>
      </w:r>
      <w:r>
        <w:rPr>
          <w:rFonts w:hint="eastAsia" w:hAnsi="仿宋" w:cs="仿宋"/>
        </w:rPr>
        <w:t>市场交易规则</w:t>
      </w:r>
      <w:r>
        <w:rPr>
          <w:rFonts w:hint="eastAsia" w:hAnsi="仿宋" w:cs="仿宋"/>
          <w:lang w:val="en-US" w:eastAsia="zh-CN"/>
        </w:rPr>
        <w:t>要求</w:t>
      </w:r>
      <w:r>
        <w:rPr>
          <w:rFonts w:hint="eastAsia" w:hAnsi="仿宋" w:cs="仿宋"/>
        </w:rPr>
        <w:t>，</w:t>
      </w:r>
      <w:r>
        <w:rPr>
          <w:rFonts w:hint="eastAsia"/>
        </w:rPr>
        <w:t>严格遵守《网络安全法》、《电力监控系统安全防护规定》</w:t>
      </w:r>
      <w:r>
        <w:rPr>
          <w:rFonts w:hint="eastAsia"/>
          <w:lang w:val="en-US" w:eastAsia="zh-CN"/>
        </w:rPr>
        <w:t>等</w:t>
      </w:r>
      <w:r>
        <w:rPr>
          <w:rFonts w:hint="eastAsia"/>
        </w:rPr>
        <w:t>有关规定，保证安全可靠运行。</w:t>
      </w:r>
      <w:r>
        <w:rPr>
          <w:rFonts w:hint="eastAsia"/>
          <w:lang w:val="en-US" w:eastAsia="zh-CN"/>
        </w:rPr>
        <w:t>电力现货市场技术支持系统应</w:t>
      </w:r>
      <w:r>
        <w:rPr>
          <w:rFonts w:hint="eastAsia"/>
        </w:rPr>
        <w:t>通过独立</w:t>
      </w:r>
      <w:r>
        <w:t>第三方</w:t>
      </w:r>
      <w:r>
        <w:rPr>
          <w:rFonts w:hint="eastAsia"/>
        </w:rPr>
        <w:t>进行的现货出清模型算法验证、系统</w:t>
      </w:r>
      <w:r>
        <w:t>功能</w:t>
      </w:r>
      <w:r>
        <w:rPr>
          <w:rFonts w:hint="eastAsia"/>
        </w:rPr>
        <w:t>评审和</w:t>
      </w:r>
      <w:r>
        <w:t>安全评估</w:t>
      </w:r>
      <w:r>
        <w:rPr>
          <w:rFonts w:hint="eastAsia"/>
        </w:rPr>
        <w:t>。</w:t>
      </w:r>
    </w:p>
    <w:p>
      <w:pPr>
        <w:pStyle w:val="6"/>
        <w:numPr>
          <w:ilvl w:val="1"/>
          <w:numId w:val="1"/>
        </w:numPr>
        <w:spacing w:after="0" w:line="580" w:lineRule="exact"/>
        <w:ind w:left="0" w:firstLine="640"/>
        <w:rPr>
          <w:rFonts w:hint="eastAsia"/>
        </w:rPr>
      </w:pPr>
      <w:r>
        <w:rPr>
          <w:rFonts w:hint="eastAsia"/>
        </w:rPr>
        <w:t>【技术支持系统日常管理监管要求】市场运营机构应当规范技术支持系统管理，确保系统</w:t>
      </w:r>
      <w:r>
        <w:t>操作</w:t>
      </w:r>
      <w:r>
        <w:rPr>
          <w:rFonts w:hint="eastAsia"/>
        </w:rPr>
        <w:t>有记录</w:t>
      </w:r>
      <w:r>
        <w:t>、可回溯</w:t>
      </w:r>
      <w:r>
        <w:rPr>
          <w:rFonts w:hint="eastAsia"/>
        </w:rPr>
        <w:t>，包括但不限于：</w:t>
      </w:r>
    </w:p>
    <w:p>
      <w:pPr>
        <w:pStyle w:val="6"/>
        <w:spacing w:after="0" w:line="580" w:lineRule="exact"/>
        <w:ind w:firstLine="640"/>
        <w:rPr>
          <w:rFonts w:hint="eastAsia"/>
        </w:rPr>
      </w:pPr>
      <w:r>
        <w:rPr>
          <w:rFonts w:hint="eastAsia"/>
        </w:rPr>
        <w:t>（一）电力市场成员系统</w:t>
      </w:r>
      <w:r>
        <w:t>账户的开通</w:t>
      </w:r>
      <w:r>
        <w:rPr>
          <w:rFonts w:hint="eastAsia"/>
        </w:rPr>
        <w:t>、</w:t>
      </w:r>
      <w:r>
        <w:t>调整及</w:t>
      </w:r>
      <w:r>
        <w:rPr>
          <w:rFonts w:hint="eastAsia"/>
        </w:rPr>
        <w:t>注销等</w:t>
      </w:r>
      <w:r>
        <w:t>操作</w:t>
      </w:r>
      <w:r>
        <w:rPr>
          <w:rFonts w:hint="eastAsia"/>
        </w:rPr>
        <w:t>均</w:t>
      </w:r>
      <w:r>
        <w:t>有记录</w:t>
      </w:r>
      <w:r>
        <w:rPr>
          <w:rFonts w:hint="eastAsia"/>
        </w:rPr>
        <w:t>。同一类型</w:t>
      </w:r>
      <w:r>
        <w:rPr>
          <w:rFonts w:hint="eastAsia"/>
          <w:lang w:eastAsia="zh-CN"/>
        </w:rPr>
        <w:t>电力交易主体</w:t>
      </w:r>
      <w:r>
        <w:rPr>
          <w:rFonts w:hint="eastAsia"/>
        </w:rPr>
        <w:t>账户</w:t>
      </w:r>
      <w:r>
        <w:t>权限</w:t>
      </w:r>
      <w:r>
        <w:rPr>
          <w:rFonts w:hint="eastAsia"/>
        </w:rPr>
        <w:t>应当一致；</w:t>
      </w:r>
    </w:p>
    <w:p>
      <w:pPr>
        <w:pStyle w:val="6"/>
        <w:spacing w:after="0" w:line="580" w:lineRule="exact"/>
        <w:ind w:firstLine="640"/>
        <w:rPr>
          <w:rFonts w:hint="eastAsia"/>
        </w:rPr>
      </w:pPr>
      <w:r>
        <w:rPr>
          <w:rFonts w:hint="eastAsia"/>
        </w:rPr>
        <w:t>（二）技术支持系统应当保存用户关键操作日志，</w:t>
      </w:r>
      <w:r>
        <w:t>包括</w:t>
      </w:r>
      <w:r>
        <w:rPr>
          <w:rFonts w:hint="eastAsia"/>
        </w:rPr>
        <w:t>但不限于系统</w:t>
      </w:r>
      <w:r>
        <w:t>用户所</w:t>
      </w:r>
      <w:r>
        <w:rPr>
          <w:rFonts w:hint="eastAsia"/>
        </w:rPr>
        <w:t>使用</w:t>
      </w:r>
      <w:r>
        <w:t>的计算机</w:t>
      </w:r>
      <w:r>
        <w:rPr>
          <w:rFonts w:hint="eastAsia"/>
        </w:rPr>
        <w:t>MAC地址</w:t>
      </w:r>
      <w:r>
        <w:t>、网络</w:t>
      </w:r>
      <w:r>
        <w:rPr>
          <w:rFonts w:hint="eastAsia"/>
        </w:rPr>
        <w:t>IP、</w:t>
      </w:r>
      <w:r>
        <w:t>登录地址、操作时间、操作</w:t>
      </w:r>
      <w:r>
        <w:rPr>
          <w:rFonts w:hint="eastAsia"/>
        </w:rPr>
        <w:t>内容</w:t>
      </w:r>
      <w:r>
        <w:t>等</w:t>
      </w:r>
      <w:r>
        <w:rPr>
          <w:rFonts w:hint="eastAsia"/>
        </w:rPr>
        <w:t>；</w:t>
      </w:r>
    </w:p>
    <w:p>
      <w:pPr>
        <w:pStyle w:val="6"/>
        <w:spacing w:after="0" w:line="580" w:lineRule="exact"/>
        <w:ind w:firstLine="640"/>
        <w:rPr>
          <w:rFonts w:hint="eastAsia"/>
        </w:rPr>
      </w:pPr>
      <w:r>
        <w:rPr>
          <w:rFonts w:hint="eastAsia"/>
        </w:rPr>
        <w:t>（三）技术支持系统应当保存交易全过程日志，对交易全过程可回溯和还原；</w:t>
      </w:r>
    </w:p>
    <w:p>
      <w:pPr>
        <w:pStyle w:val="6"/>
        <w:spacing w:after="0" w:line="580" w:lineRule="exact"/>
        <w:ind w:firstLine="640"/>
        <w:rPr>
          <w:rFonts w:hint="eastAsia"/>
        </w:rPr>
      </w:pPr>
      <w:r>
        <w:rPr>
          <w:rFonts w:hint="eastAsia"/>
        </w:rPr>
        <w:t>（四）技术支持系统日志保存时间应当满足《电力市场运营系统现货交易功能指南（适用于集中式电力市场）》（试行）、《电力市场运营系统现货结算功能指南》（试行）要求；</w:t>
      </w:r>
    </w:p>
    <w:p>
      <w:pPr>
        <w:pStyle w:val="6"/>
        <w:spacing w:after="0" w:line="580" w:lineRule="exact"/>
        <w:ind w:firstLine="640"/>
        <w:rPr>
          <w:rFonts w:hint="eastAsia"/>
        </w:rPr>
      </w:pPr>
      <w:r>
        <w:rPr>
          <w:rFonts w:hint="eastAsia"/>
        </w:rPr>
        <w:t>（五）技术支持系统遵循易于使用的原则，并按照有关规定向</w:t>
      </w:r>
      <w:r>
        <w:rPr>
          <w:rFonts w:hint="eastAsia"/>
          <w:lang w:eastAsia="zh-CN"/>
        </w:rPr>
        <w:t>电力交易主体</w:t>
      </w:r>
      <w:r>
        <w:rPr>
          <w:rFonts w:hint="eastAsia"/>
        </w:rPr>
        <w:t>开放数据接口，具备数据下载导出等功能。</w:t>
      </w:r>
    </w:p>
    <w:p>
      <w:pPr>
        <w:pStyle w:val="6"/>
        <w:numPr>
          <w:ilvl w:val="1"/>
          <w:numId w:val="1"/>
        </w:numPr>
        <w:spacing w:after="0" w:line="580" w:lineRule="exact"/>
        <w:ind w:left="0" w:firstLine="640"/>
        <w:rPr>
          <w:rFonts w:hint="eastAsia"/>
        </w:rPr>
      </w:pPr>
      <w:r>
        <w:rPr>
          <w:rFonts w:hint="eastAsia"/>
        </w:rPr>
        <w:t>【技术支持系统运维管理监管要求】</w:t>
      </w:r>
      <w:r>
        <w:rPr>
          <w:rFonts w:hint="eastAsia"/>
          <w:lang w:val="en-US" w:eastAsia="zh-CN"/>
        </w:rPr>
        <w:t>电网企业、</w:t>
      </w:r>
      <w:r>
        <w:rPr>
          <w:rFonts w:hint="eastAsia"/>
        </w:rPr>
        <w:t>市场运营机构应当编制应急预案，定期开展应急演练，保障电力市场技术支持系统连续稳定运行；以半年为周期组织对技术支持系统运行情况进行总结和自查，并形成书面报告。</w:t>
      </w:r>
    </w:p>
    <w:p>
      <w:pPr>
        <w:pStyle w:val="6"/>
        <w:numPr>
          <w:ilvl w:val="1"/>
          <w:numId w:val="1"/>
        </w:numPr>
        <w:spacing w:after="0" w:line="580" w:lineRule="exact"/>
        <w:ind w:left="0" w:firstLine="640"/>
        <w:rPr>
          <w:rFonts w:hint="eastAsia"/>
        </w:rPr>
      </w:pPr>
      <w:r>
        <w:rPr>
          <w:rFonts w:hint="eastAsia"/>
        </w:rPr>
        <w:t>【技术支持系统开发企业监管要求】市场运营机构应当对技术支持系统开发建设人员建立保密管理制度，明确涉密信息的知情人范围；进行信息知情人登记管理，按照规定签署保密协议。</w:t>
      </w:r>
    </w:p>
    <w:p>
      <w:pPr>
        <w:pStyle w:val="6"/>
        <w:numPr>
          <w:ilvl w:val="255"/>
          <w:numId w:val="0"/>
        </w:numPr>
        <w:spacing w:after="0" w:line="580" w:lineRule="exact"/>
        <w:ind w:firstLine="640" w:firstLineChars="200"/>
        <w:rPr>
          <w:rFonts w:hint="eastAsia"/>
        </w:rPr>
      </w:pPr>
      <w:r>
        <w:rPr>
          <w:rFonts w:hint="eastAsia"/>
        </w:rPr>
        <w:t>提供技术支持系统开发的企业，不得在本区域内从事交易、代理报价和相关的咨询服务等业务。</w:t>
      </w:r>
    </w:p>
    <w:p>
      <w:pPr>
        <w:pStyle w:val="6"/>
        <w:numPr>
          <w:ilvl w:val="1"/>
          <w:numId w:val="1"/>
        </w:numPr>
        <w:spacing w:after="0" w:line="580" w:lineRule="exact"/>
        <w:ind w:left="0" w:firstLine="640" w:firstLineChars="0"/>
        <w:rPr>
          <w:rFonts w:hint="eastAsia"/>
        </w:rPr>
      </w:pPr>
      <w:r>
        <w:rPr>
          <w:rFonts w:hint="eastAsia"/>
        </w:rPr>
        <w:t>【违规处理】市场运营机构违反本指引监管要求的，由能源监管机构按照《山东省电力市场监管办法（试行）》有关规定处理。</w:t>
      </w:r>
    </w:p>
    <w:p>
      <w:pPr>
        <w:pStyle w:val="6"/>
        <w:numPr>
          <w:ilvl w:val="255"/>
          <w:numId w:val="0"/>
        </w:numPr>
        <w:spacing w:after="0" w:line="580" w:lineRule="exact"/>
        <w:ind w:left="0"/>
        <w:rPr>
          <w:rFonts w:hint="eastAsia"/>
        </w:rPr>
      </w:pPr>
    </w:p>
    <w:p>
      <w:pPr>
        <w:spacing w:after="0" w:line="58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 附则</w:t>
      </w:r>
    </w:p>
    <w:p>
      <w:pPr>
        <w:pStyle w:val="6"/>
        <w:numPr>
          <w:ilvl w:val="1"/>
          <w:numId w:val="1"/>
        </w:numPr>
        <w:spacing w:after="0" w:line="580" w:lineRule="exact"/>
        <w:ind w:left="0" w:firstLine="640" w:firstLineChars="0"/>
        <w:rPr>
          <w:rFonts w:hint="eastAsia" w:ascii="仿宋_GB2312" w:hAnsi="仿宋_GB2312" w:eastAsia="仿宋_GB2312" w:cs="仿宋_GB2312"/>
          <w:kern w:val="2"/>
          <w:sz w:val="32"/>
          <w:szCs w:val="32"/>
          <w:lang w:val="en-US" w:eastAsia="zh-CN" w:bidi="ar-SA"/>
        </w:rPr>
      </w:pPr>
      <w:bookmarkStart w:id="0" w:name="_GoBack"/>
      <w:bookmarkEnd w:id="0"/>
      <w:r>
        <w:rPr>
          <w:rFonts w:hint="eastAsia" w:ascii="仿宋_GB2312" w:hAnsi="仿宋_GB2312" w:eastAsia="仿宋_GB2312" w:cs="仿宋_GB2312"/>
          <w:kern w:val="2"/>
          <w:sz w:val="32"/>
          <w:szCs w:val="32"/>
          <w:lang w:val="en-US" w:eastAsia="zh-CN" w:bidi="ar-SA"/>
        </w:rPr>
        <w:t>【解释与修订】本指引由山东能源监管办负责解释，并根据电力市场发展需要适时进行修订。</w:t>
      </w:r>
    </w:p>
    <w:sectPr>
      <w:pgSz w:w="11906" w:h="16838"/>
      <w:pgMar w:top="1984" w:right="1474" w:bottom="181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E14A5D"/>
    <w:multiLevelType w:val="multilevel"/>
    <w:tmpl w:val="3CE14A5D"/>
    <w:lvl w:ilvl="0" w:tentative="0">
      <w:start w:val="1"/>
      <w:numFmt w:val="chineseCountingThousand"/>
      <w:lvlText w:val="第%1条"/>
      <w:lvlJc w:val="left"/>
      <w:pPr>
        <w:ind w:left="1063" w:hanging="420"/>
      </w:pPr>
      <w:rPr>
        <w:rFonts w:hint="eastAsia"/>
        <w:lang w:val="en-US"/>
      </w:rPr>
    </w:lvl>
    <w:lvl w:ilvl="1" w:tentative="0">
      <w:start w:val="1"/>
      <w:numFmt w:val="chineseCountingThousand"/>
      <w:lvlText w:val="第%2条"/>
      <w:lvlJc w:val="left"/>
      <w:pPr>
        <w:ind w:left="1130" w:hanging="420"/>
      </w:pPr>
      <w:rPr>
        <w:rFonts w:hint="eastAsia"/>
        <w:b/>
        <w:lang w:val="en-US"/>
      </w:r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1">
    <w:nsid w:val="58B44208"/>
    <w:multiLevelType w:val="singleLevel"/>
    <w:tmpl w:val="58B4420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DA3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eastAsia="宋体" w:cs="Times New Roman"/>
      <w:szCs w:val="22"/>
    </w:rPr>
  </w:style>
  <w:style w:type="paragraph" w:styleId="3">
    <w:name w:val="Normal (Web)"/>
    <w:basedOn w:val="1"/>
    <w:qFormat/>
    <w:uiPriority w:val="0"/>
    <w:pPr>
      <w:spacing w:beforeAutospacing="1" w:after="0" w:afterAutospacing="1"/>
      <w:jc w:val="left"/>
    </w:pPr>
    <w:rPr>
      <w:rFonts w:cs="Times New Roman"/>
      <w:kern w:val="0"/>
      <w:sz w:val="24"/>
    </w:rPr>
  </w:style>
  <w:style w:type="paragraph" w:customStyle="1" w:styleId="6">
    <w:name w:val="_Style 1"/>
    <w:basedOn w:val="1"/>
    <w:qFormat/>
    <w:uiPriority w:val="34"/>
    <w:pPr>
      <w:adjustRightInd w:val="0"/>
      <w:snapToGrid w:val="0"/>
      <w:spacing w:line="360" w:lineRule="auto"/>
      <w:ind w:firstLine="420" w:firstLineChars="200"/>
    </w:pPr>
    <w:rPr>
      <w:rFonts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2026-03-23T00:19:15Z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