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Autospacing="0" w:afterAutospacing="0" w:line="580" w:lineRule="exact"/>
        <w:jc w:val="center"/>
        <w:outlineLvl w:val="0"/>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山东电力</w:t>
      </w:r>
      <w:bookmarkStart w:id="1" w:name="_GoBack"/>
      <w:r>
        <w:rPr>
          <w:rFonts w:hint="eastAsia" w:ascii="方正小标宋_GBK" w:hAnsi="方正小标宋_GBK" w:eastAsia="方正小标宋_GBK" w:cs="方正小标宋_GBK"/>
          <w:kern w:val="2"/>
          <w:sz w:val="44"/>
          <w:szCs w:val="44"/>
        </w:rPr>
        <w:t>市场</w:t>
      </w:r>
      <w:r>
        <w:rPr>
          <w:rFonts w:hint="eastAsia" w:ascii="方正小标宋_GBK" w:hAnsi="方正小标宋_GBK" w:eastAsia="方正小标宋_GBK" w:cs="方正小标宋_GBK"/>
          <w:kern w:val="2"/>
          <w:sz w:val="44"/>
          <w:szCs w:val="44"/>
          <w:lang w:eastAsia="zh-CN"/>
        </w:rPr>
        <w:t>电力交易主体</w:t>
      </w:r>
      <w:r>
        <w:rPr>
          <w:rFonts w:hint="eastAsia" w:ascii="方正小标宋_GBK" w:hAnsi="方正小标宋_GBK" w:eastAsia="方正小标宋_GBK" w:cs="方正小标宋_GBK"/>
          <w:kern w:val="2"/>
          <w:sz w:val="44"/>
          <w:szCs w:val="44"/>
        </w:rPr>
        <w:t>异常行为认定</w:t>
      </w:r>
    </w:p>
    <w:p>
      <w:pPr>
        <w:pStyle w:val="3"/>
        <w:snapToGrid w:val="0"/>
        <w:spacing w:beforeAutospacing="0" w:afterAutospacing="0" w:line="580" w:lineRule="exact"/>
        <w:jc w:val="center"/>
        <w:outlineLvl w:val="0"/>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和处置监管指引</w:t>
      </w:r>
      <w:bookmarkEnd w:id="1"/>
    </w:p>
    <w:p>
      <w:pPr>
        <w:pStyle w:val="3"/>
        <w:snapToGrid w:val="0"/>
        <w:spacing w:beforeAutospacing="0" w:afterAutospacing="0" w:line="580" w:lineRule="exact"/>
        <w:jc w:val="center"/>
        <w:outlineLvl w:val="0"/>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征求意见</w:t>
      </w:r>
      <w:r>
        <w:rPr>
          <w:rFonts w:hint="eastAsia" w:ascii="方正楷体_GBK" w:hAnsi="方正楷体_GBK" w:eastAsia="方正楷体_GBK" w:cs="方正楷体_GBK"/>
          <w:kern w:val="2"/>
          <w:sz w:val="32"/>
          <w:szCs w:val="32"/>
        </w:rPr>
        <w:t>稿）</w:t>
      </w:r>
    </w:p>
    <w:p>
      <w:pPr>
        <w:pStyle w:val="3"/>
        <w:snapToGrid w:val="0"/>
        <w:spacing w:beforeAutospacing="0" w:afterAutospacing="0" w:line="580" w:lineRule="exact"/>
        <w:jc w:val="center"/>
        <w:outlineLvl w:val="0"/>
        <w:rPr>
          <w:rFonts w:hint="eastAsia" w:ascii="华文楷体" w:hAnsi="华文楷体" w:eastAsia="华文楷体" w:cs="华文楷体"/>
          <w:kern w:val="2"/>
          <w:sz w:val="32"/>
          <w:szCs w:val="32"/>
        </w:rPr>
      </w:pPr>
    </w:p>
    <w:p>
      <w:pPr>
        <w:pStyle w:val="3"/>
        <w:snapToGrid w:val="0"/>
        <w:spacing w:beforeAutospacing="0" w:afterAutospacing="0" w:line="580" w:lineRule="exact"/>
        <w:jc w:val="center"/>
        <w:outlineLvl w:val="0"/>
        <w:rPr>
          <w:rFonts w:hint="eastAsia" w:ascii="方正黑体_GBK" w:hAnsi="方正黑体_GBK" w:eastAsia="方正黑体_GBK" w:cs="方正黑体_GBK"/>
          <w:kern w:val="2"/>
          <w:sz w:val="32"/>
          <w:szCs w:val="32"/>
        </w:rPr>
      </w:pPr>
      <w:bookmarkStart w:id="0" w:name="OLE_LINK2"/>
      <w:r>
        <w:rPr>
          <w:rFonts w:hint="eastAsia" w:ascii="方正黑体_GBK" w:hAnsi="方正黑体_GBK" w:eastAsia="方正黑体_GBK" w:cs="方正黑体_GBK"/>
          <w:kern w:val="2"/>
          <w:sz w:val="32"/>
          <w:szCs w:val="32"/>
        </w:rPr>
        <w:t>第一章 总则</w:t>
      </w:r>
      <w:bookmarkEnd w:id="0"/>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【目的依据】为加强电力市场监管，规范开展电力市场</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异常行为认定和处置，维护市场秩序，根据《山东省电力市场监管办法（试行）》，制定本指引。</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【适用范围】本指引适用于山东能源监管办对电力市场</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异常行为认定的监管。</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【术语定义】本指引所称电力市场异常行为，是指在电力市场运营中出现的涉嫌违反电力市场法规政策、市场规则等规定或违背公平竞争原则，损害市场公共利益、其他</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利益以及可能影响电力市场交易正常秩序的行为。</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【工作原则】电力市场异常行为认定与处置工作坚持依法依规、数字赋能、精准高效、协同共治的原则。</w:t>
      </w:r>
    </w:p>
    <w:p>
      <w:pPr>
        <w:numPr>
          <w:ilvl w:val="255"/>
          <w:numId w:val="0"/>
        </w:numPr>
        <w:spacing w:after="0" w:line="580" w:lineRule="exact"/>
        <w:rPr>
          <w:rFonts w:hint="eastAsia" w:ascii="仿宋_GB2312" w:hAnsi="仿宋_GB2312" w:eastAsia="仿宋_GB2312" w:cs="仿宋_GB2312"/>
          <w:b/>
          <w:bCs/>
          <w:sz w:val="32"/>
          <w:szCs w:val="32"/>
        </w:rPr>
      </w:pPr>
    </w:p>
    <w:p>
      <w:pPr>
        <w:numPr>
          <w:ilvl w:val="255"/>
          <w:numId w:val="0"/>
        </w:num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职责分工</w:t>
      </w:r>
    </w:p>
    <w:p>
      <w:pPr>
        <w:numPr>
          <w:ilvl w:val="0"/>
          <w:numId w:val="1"/>
        </w:numPr>
        <w:spacing w:after="0" w:line="580" w:lineRule="exact"/>
        <w:ind w:left="0" w:firstLine="70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【电力市场运营机构职责】电力</w:t>
      </w:r>
      <w:r>
        <w:rPr>
          <w:rFonts w:hint="eastAsia" w:ascii="仿宋_GB2312" w:hAnsi="仿宋_GB2312" w:eastAsia="仿宋_GB2312" w:cs="仿宋_GB2312"/>
          <w:bCs/>
          <w:sz w:val="32"/>
          <w:szCs w:val="32"/>
        </w:rPr>
        <w:t>市场运营机构负责</w:t>
      </w:r>
      <w:r>
        <w:rPr>
          <w:rFonts w:hint="eastAsia" w:ascii="仿宋_GB2312" w:hAnsi="仿宋_GB2312" w:eastAsia="仿宋_GB2312" w:cs="仿宋_GB2312"/>
          <w:sz w:val="32"/>
          <w:szCs w:val="32"/>
        </w:rPr>
        <w:t>运用数智化手段对市场注册、申报出清、交易结算、零售市场、技术平台等全链条开展市场运营动态监测，及时发现电力市场异常行为，并根据初步核实结果进行分类处置。山东能源监管办可授权市场运营机构制定异常行为监测阈值参数及相关规定。</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【电力市场管委会职责】电力市场管理委员会负责制定市场自律管理制度，制度报山东能源监管办审定同意后实施。</w:t>
      </w:r>
    </w:p>
    <w:p>
      <w:pPr>
        <w:numPr>
          <w:ilvl w:val="255"/>
          <w:numId w:val="0"/>
        </w:numPr>
        <w:spacing w:after="0" w:line="580" w:lineRule="exact"/>
        <w:ind w:left="709"/>
        <w:rPr>
          <w:rFonts w:hint="eastAsia" w:ascii="仿宋_GB2312" w:hAnsi="仿宋_GB2312" w:eastAsia="仿宋_GB2312" w:cs="仿宋_GB2312"/>
          <w:sz w:val="32"/>
          <w:szCs w:val="32"/>
        </w:rPr>
      </w:pPr>
    </w:p>
    <w:p>
      <w:pPr>
        <w:numPr>
          <w:ilvl w:val="255"/>
          <w:numId w:val="0"/>
        </w:num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异常行为认定</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行使市场操纵力（</w:t>
      </w:r>
      <w:r>
        <w:rPr>
          <w:rFonts w:hint="eastAsia" w:ascii="仿宋_GB2312" w:hAnsi="仿宋_GB2312" w:eastAsia="仿宋_GB2312" w:cs="仿宋_GB2312"/>
          <w:sz w:val="32"/>
          <w:szCs w:val="32"/>
        </w:rPr>
        <w:t>物理持留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】在电力市场交易过程中，</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不得通过不合理地减少或限制自身发电机组的可用发电容量（物理能力），制造或加剧市场中的供应紧张局面以推高市场价格获取不正当利润。</w:t>
      </w:r>
      <w:r>
        <w:rPr>
          <w:rFonts w:hint="eastAsia" w:ascii="仿宋_GB2312" w:hAnsi="仿宋_GB2312" w:eastAsia="仿宋_GB2312" w:cs="仿宋_GB2312"/>
          <w:bCs/>
          <w:sz w:val="32"/>
          <w:szCs w:val="32"/>
        </w:rPr>
        <w:t>有下列情形之一的，可视为</w:t>
      </w:r>
      <w:r>
        <w:rPr>
          <w:rFonts w:hint="eastAsia" w:ascii="仿宋_GB2312" w:hAnsi="仿宋_GB2312" w:eastAsia="仿宋_GB2312" w:cs="仿宋_GB2312"/>
          <w:sz w:val="32"/>
          <w:szCs w:val="32"/>
        </w:rPr>
        <w:t>存在</w:t>
      </w:r>
      <w:r>
        <w:rPr>
          <w:rFonts w:hint="eastAsia" w:ascii="仿宋_GB2312" w:hAnsi="仿宋_GB2312" w:eastAsia="仿宋_GB2312" w:cs="仿宋_GB2312"/>
          <w:sz w:val="32"/>
          <w:szCs w:val="32"/>
          <w:lang w:val="en-US" w:eastAsia="zh-CN"/>
        </w:rPr>
        <w:t>行使市场操纵力（</w:t>
      </w:r>
      <w:r>
        <w:rPr>
          <w:rFonts w:hint="eastAsia" w:ascii="仿宋_GB2312" w:hAnsi="仿宋_GB2312" w:eastAsia="仿宋_GB2312" w:cs="仿宋_GB2312"/>
          <w:sz w:val="32"/>
          <w:szCs w:val="32"/>
        </w:rPr>
        <w:t>物理持留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rPr>
        <w:t>。</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（一）出现无正当理由降低申报可用容量情况，如在</w:t>
      </w:r>
      <w:r>
        <w:rPr>
          <w:rFonts w:hint="eastAsia" w:ascii="仿宋_GB2312" w:hAnsi="仿宋_GB2312" w:eastAsia="仿宋_GB2312" w:cs="仿宋_GB2312"/>
          <w:bCs/>
          <w:sz w:val="32"/>
          <w:szCs w:val="32"/>
          <w:lang w:val="en-US" w:eastAsia="zh-CN"/>
        </w:rPr>
        <w:t>系统供应紧张</w:t>
      </w:r>
      <w:r>
        <w:rPr>
          <w:rFonts w:hint="eastAsia" w:ascii="仿宋_GB2312" w:hAnsi="仿宋_GB2312" w:eastAsia="仿宋_GB2312" w:cs="仿宋_GB2312"/>
          <w:bCs/>
          <w:sz w:val="32"/>
          <w:szCs w:val="32"/>
        </w:rPr>
        <w:t>时段，发电机组无合理技术原因（如设备缺陷、燃料短缺、环保限制）主动申报低于其实际最大技术出力的可用容量。</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（二）出现不合理地申报停机备用或临时检修情况，如在系统供应紧张时期，申报停机备用；或申报无法被有效验证的临时故障（临时检修），从而退出有效供应。</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）出现虚报技术约束情况，如申报机组存在技术限制，导致其可</w:t>
      </w:r>
      <w:r>
        <w:rPr>
          <w:rFonts w:hint="eastAsia" w:ascii="仿宋_GB2312" w:hAnsi="仿宋_GB2312" w:eastAsia="仿宋_GB2312" w:cs="仿宋_GB2312"/>
          <w:bCs/>
          <w:sz w:val="32"/>
          <w:szCs w:val="32"/>
          <w:lang w:val="en-US" w:eastAsia="zh-CN"/>
        </w:rPr>
        <w:t>用</w:t>
      </w:r>
      <w:r>
        <w:rPr>
          <w:rFonts w:hint="eastAsia" w:ascii="仿宋_GB2312" w:hAnsi="仿宋_GB2312" w:eastAsia="仿宋_GB2312" w:cs="仿宋_GB2312"/>
          <w:bCs/>
          <w:sz w:val="32"/>
          <w:szCs w:val="32"/>
        </w:rPr>
        <w:t>容量降低，但缺乏</w:t>
      </w:r>
      <w:r>
        <w:rPr>
          <w:rFonts w:hint="eastAsia" w:ascii="仿宋_GB2312" w:hAnsi="仿宋_GB2312" w:eastAsia="仿宋_GB2312" w:cs="仿宋_GB2312"/>
          <w:bCs/>
          <w:sz w:val="32"/>
          <w:szCs w:val="32"/>
          <w:lang w:val="en-US" w:eastAsia="zh-CN"/>
        </w:rPr>
        <w:t>合理技术原因</w:t>
      </w:r>
      <w:r>
        <w:rPr>
          <w:rFonts w:hint="eastAsia" w:ascii="仿宋_GB2312" w:hAnsi="仿宋_GB2312" w:eastAsia="仿宋_GB2312" w:cs="仿宋_GB2312"/>
          <w:bCs/>
          <w:sz w:val="32"/>
          <w:szCs w:val="32"/>
        </w:rPr>
        <w:t>。</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）出现持留辅助服务调节能力的情况，如在辅助服务（如调频、备用）市场，不申报或降低申报调节能力，加剧辅助服务市场供应短缺，推高辅助服务价格。</w:t>
      </w:r>
    </w:p>
    <w:p>
      <w:pPr>
        <w:numPr>
          <w:ilvl w:val="255"/>
          <w:numId w:val="0"/>
        </w:numPr>
        <w:spacing w:after="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其他涉嫌行使市场操纵力（物理持留）的情况。</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行使市场操纵力（</w:t>
      </w:r>
      <w:r>
        <w:rPr>
          <w:rFonts w:hint="eastAsia" w:ascii="仿宋_GB2312" w:hAnsi="仿宋_GB2312" w:eastAsia="仿宋_GB2312" w:cs="仿宋_GB2312"/>
          <w:sz w:val="32"/>
          <w:szCs w:val="32"/>
        </w:rPr>
        <w:t>经济持留</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电力交易主体故意进行不合理的报价，从而抬高同一控制关系的主体整体收益</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有下列情形之一的，可视为</w:t>
      </w:r>
      <w:r>
        <w:rPr>
          <w:rFonts w:hint="eastAsia" w:ascii="仿宋_GB2312" w:hAnsi="仿宋_GB2312" w:eastAsia="仿宋_GB2312" w:cs="仿宋_GB2312"/>
          <w:sz w:val="32"/>
          <w:szCs w:val="32"/>
        </w:rPr>
        <w:t>存在经济持留行为</w:t>
      </w:r>
      <w:r>
        <w:rPr>
          <w:rFonts w:hint="eastAsia" w:ascii="仿宋_GB2312" w:hAnsi="仿宋_GB2312" w:eastAsia="仿宋_GB2312" w:cs="仿宋_GB2312"/>
          <w:bCs/>
          <w:sz w:val="32"/>
          <w:szCs w:val="32"/>
        </w:rPr>
        <w:t>。</w:t>
      </w:r>
    </w:p>
    <w:p>
      <w:pPr>
        <w:numPr>
          <w:ilvl w:val="0"/>
          <w:numId w:val="2"/>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出现申报价格显著高于可验证的机组边际成本情况，且缺乏合理的客观原因（如燃料现货价格暴涨、紧急购气等）。</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（二）出现不合理的极低或负报价情况，如发电机组申报远低于其燃料等变动成本的价格（如零电价、显著负电价）。</w:t>
      </w:r>
    </w:p>
    <w:p>
      <w:pPr>
        <w:spacing w:after="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）在系统供需紧张等关键时段（如负荷高峰、备用不足、网络阻塞），具有市场影响力的机组，</w:t>
      </w:r>
      <w:r>
        <w:rPr>
          <w:rFonts w:hint="eastAsia" w:ascii="仿宋_GB2312" w:hAnsi="仿宋_GB2312" w:eastAsia="仿宋_GB2312" w:cs="仿宋_GB2312"/>
          <w:sz w:val="32"/>
          <w:szCs w:val="32"/>
        </w:rPr>
        <w:t>发电企业通过</w:t>
      </w:r>
      <w:r>
        <w:rPr>
          <w:rFonts w:hint="eastAsia" w:ascii="仿宋_GB2312" w:hAnsi="仿宋_GB2312" w:eastAsia="仿宋_GB2312" w:cs="仿宋_GB2312"/>
          <w:bCs/>
          <w:sz w:val="32"/>
          <w:szCs w:val="32"/>
        </w:rPr>
        <w:t>将其部分或全部容量申报高价（如接近或达到市场规定的价格上限），推高市场价格。</w:t>
      </w:r>
    </w:p>
    <w:p>
      <w:pPr>
        <w:numPr>
          <w:ilvl w:val="0"/>
          <w:numId w:val="1"/>
        </w:numPr>
        <w:spacing w:after="0" w:line="580" w:lineRule="exact"/>
        <w:ind w:left="0" w:firstLine="70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【串通报价】在电力市场交易过程中，</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之间不得私下串通，操纵报价策略，以损害其他</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利益或谋取不正当</w:t>
      </w:r>
      <w:r>
        <w:rPr>
          <w:rFonts w:hint="eastAsia" w:ascii="仿宋_GB2312" w:hAnsi="仿宋_GB2312" w:eastAsia="仿宋_GB2312" w:cs="仿宋_GB2312"/>
          <w:sz w:val="32"/>
          <w:szCs w:val="32"/>
          <w:highlight w:val="none"/>
        </w:rPr>
        <w:t>利益。</w:t>
      </w:r>
      <w:r>
        <w:rPr>
          <w:rFonts w:hint="eastAsia" w:ascii="仿宋_GB2312" w:hAnsi="仿宋_GB2312" w:eastAsia="仿宋_GB2312" w:cs="仿宋_GB2312"/>
          <w:bCs/>
          <w:sz w:val="32"/>
          <w:szCs w:val="32"/>
          <w:highlight w:val="none"/>
        </w:rPr>
        <w:t>有下列情形之一的，可视为</w:t>
      </w:r>
      <w:r>
        <w:rPr>
          <w:rFonts w:hint="eastAsia" w:ascii="仿宋_GB2312" w:hAnsi="仿宋_GB2312" w:eastAsia="仿宋_GB2312" w:cs="仿宋_GB2312"/>
          <w:sz w:val="32"/>
          <w:szCs w:val="32"/>
          <w:highlight w:val="none"/>
        </w:rPr>
        <w:t>存在串通报价行为</w:t>
      </w:r>
      <w:r>
        <w:rPr>
          <w:rFonts w:hint="eastAsia" w:ascii="仿宋_GB2312" w:hAnsi="仿宋_GB2312" w:eastAsia="仿宋_GB2312" w:cs="仿宋_GB2312"/>
          <w:bCs/>
          <w:sz w:val="32"/>
          <w:szCs w:val="32"/>
          <w:highlight w:val="none"/>
        </w:rPr>
        <w:t>。</w:t>
      </w:r>
    </w:p>
    <w:p>
      <w:pPr>
        <w:numPr>
          <w:ilvl w:val="0"/>
          <w:numId w:val="3"/>
        </w:numPr>
        <w:spacing w:after="0"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不同电力交易主体使用相同或相近的计算机MAC地址、网络IP地址等进行交易申报，确需使用有相同或相近的IP地址段的需提前报备。政策规则允许集中报价的情况除外。</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（二）</w:t>
      </w:r>
      <w:r>
        <w:rPr>
          <w:rFonts w:ascii="仿宋_GB2312" w:hAnsi="仿宋_GB2312" w:eastAsia="仿宋_GB2312" w:cs="仿宋_GB2312"/>
          <w:sz w:val="32"/>
          <w:szCs w:val="32"/>
          <w:highlight w:val="none"/>
        </w:rPr>
        <w:t>参与集中报价的新能源发电企</w:t>
      </w:r>
      <w:r>
        <w:rPr>
          <w:rFonts w:ascii="仿宋_GB2312" w:hAnsi="仿宋_GB2312" w:eastAsia="仿宋_GB2312" w:cs="仿宋_GB2312"/>
          <w:sz w:val="32"/>
          <w:szCs w:val="32"/>
        </w:rPr>
        <w:t>业及所在固定场所，</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在人员、资产和财务等方面严格与本集团其他发售电业务隔离</w:t>
      </w:r>
      <w:r>
        <w:rPr>
          <w:rFonts w:hint="eastAsia" w:ascii="仿宋_GB2312" w:hAnsi="仿宋_GB2312" w:eastAsia="仿宋_GB2312" w:cs="仿宋_GB2312"/>
          <w:sz w:val="32"/>
          <w:szCs w:val="32"/>
        </w:rPr>
        <w:t>。</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w:t>
      </w:r>
      <w:r>
        <w:rPr>
          <w:rFonts w:hint="eastAsia" w:ascii="仿宋_GB2312" w:hAnsi="仿宋_GB2312" w:eastAsia="仿宋_GB2312" w:cs="仿宋_GB2312"/>
          <w:bCs/>
          <w:sz w:val="32"/>
          <w:szCs w:val="32"/>
          <w:lang w:eastAsia="zh-CN"/>
        </w:rPr>
        <w:t>电力交易主体</w:t>
      </w:r>
      <w:r>
        <w:rPr>
          <w:rFonts w:hint="eastAsia" w:ascii="仿宋_GB2312" w:hAnsi="仿宋_GB2312" w:eastAsia="仿宋_GB2312" w:cs="仿宋_GB2312"/>
          <w:bCs/>
          <w:sz w:val="32"/>
          <w:szCs w:val="32"/>
        </w:rPr>
        <w:t>之间，通过</w:t>
      </w:r>
      <w:r>
        <w:rPr>
          <w:rFonts w:hint="eastAsia" w:ascii="仿宋_GB2312" w:hAnsi="仿宋_GB2312" w:eastAsia="仿宋_GB2312" w:cs="仿宋_GB2312"/>
          <w:bCs/>
          <w:sz w:val="32"/>
          <w:szCs w:val="32"/>
          <w:lang w:val="en-US" w:eastAsia="zh-CN"/>
        </w:rPr>
        <w:t>会面、通信等方式进行意思联络</w:t>
      </w:r>
      <w:r>
        <w:rPr>
          <w:rFonts w:hint="eastAsia" w:ascii="仿宋_GB2312" w:hAnsi="仿宋_GB2312" w:eastAsia="仿宋_GB2312" w:cs="仿宋_GB2312"/>
          <w:bCs/>
          <w:sz w:val="32"/>
          <w:szCs w:val="32"/>
        </w:rPr>
        <w:t>，操纵报价策略，如</w:t>
      </w:r>
      <w:r>
        <w:rPr>
          <w:rFonts w:hint="eastAsia" w:ascii="仿宋_GB2312" w:hAnsi="仿宋_GB2312" w:eastAsia="仿宋_GB2312" w:cs="仿宋_GB2312"/>
          <w:bCs/>
          <w:sz w:val="32"/>
          <w:szCs w:val="32"/>
          <w:lang w:val="en-US" w:eastAsia="zh-CN"/>
        </w:rPr>
        <w:t>协调商议价格和价格变动幅度、步骤、时间以及交易电量</w:t>
      </w:r>
      <w:r>
        <w:rPr>
          <w:rFonts w:hint="eastAsia" w:ascii="仿宋_GB2312" w:hAnsi="仿宋_GB2312" w:eastAsia="仿宋_GB2312" w:cs="仿宋_GB2312"/>
          <w:bCs/>
          <w:sz w:val="32"/>
          <w:szCs w:val="32"/>
        </w:rPr>
        <w:t>等行为。</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（四）多个</w:t>
      </w:r>
      <w:r>
        <w:rPr>
          <w:rFonts w:hint="eastAsia" w:ascii="仿宋_GB2312" w:hAnsi="仿宋_GB2312" w:eastAsia="仿宋_GB2312" w:cs="仿宋_GB2312"/>
          <w:bCs/>
          <w:sz w:val="32"/>
          <w:szCs w:val="32"/>
          <w:lang w:eastAsia="zh-CN"/>
        </w:rPr>
        <w:t>电力交易主体</w:t>
      </w:r>
      <w:r>
        <w:rPr>
          <w:rFonts w:hint="eastAsia" w:ascii="仿宋_GB2312" w:hAnsi="仿宋_GB2312" w:eastAsia="仿宋_GB2312" w:cs="仿宋_GB2312"/>
          <w:bCs/>
          <w:sz w:val="32"/>
          <w:szCs w:val="32"/>
        </w:rPr>
        <w:t>在缺乏客观原因（如燃料成本大幅波动）的情况下，申报电量、电价曲线呈现</w:t>
      </w:r>
      <w:r>
        <w:rPr>
          <w:rFonts w:hint="eastAsia" w:ascii="仿宋_GB2312" w:hAnsi="仿宋_GB2312" w:eastAsia="仿宋_GB2312" w:cs="仿宋_GB2312"/>
          <w:bCs/>
          <w:sz w:val="32"/>
          <w:szCs w:val="32"/>
          <w:shd w:val="clear" w:color="auto" w:fill="FFFFFF"/>
        </w:rPr>
        <w:t>高度一致性或明显协同性</w:t>
      </w:r>
      <w:r>
        <w:rPr>
          <w:rFonts w:hint="eastAsia" w:ascii="仿宋_GB2312" w:hAnsi="仿宋_GB2312" w:eastAsia="仿宋_GB2312" w:cs="仿宋_GB2312"/>
          <w:bCs/>
          <w:sz w:val="32"/>
          <w:szCs w:val="32"/>
        </w:rPr>
        <w:t>。</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shd w:val="clear" w:color="auto" w:fill="FFFFFF"/>
        </w:rPr>
        <w:t>发电企业与售电公司</w:t>
      </w:r>
      <w:r>
        <w:rPr>
          <w:rFonts w:hint="eastAsia" w:ascii="仿宋_GB2312" w:hAnsi="仿宋_GB2312" w:eastAsia="仿宋_GB2312" w:cs="仿宋_GB2312"/>
          <w:bCs/>
          <w:sz w:val="32"/>
          <w:szCs w:val="32"/>
        </w:rPr>
        <w:t>之间的交易，成交价格</w:t>
      </w:r>
      <w:r>
        <w:rPr>
          <w:rFonts w:hint="eastAsia" w:ascii="仿宋_GB2312" w:hAnsi="仿宋_GB2312" w:eastAsia="仿宋_GB2312" w:cs="仿宋_GB2312"/>
          <w:bCs/>
          <w:sz w:val="32"/>
          <w:szCs w:val="32"/>
          <w:shd w:val="clear" w:color="auto" w:fill="FFFFFF"/>
        </w:rPr>
        <w:t>显著偏离市场正常价格水平</w:t>
      </w:r>
      <w:r>
        <w:rPr>
          <w:rFonts w:hint="eastAsia" w:ascii="仿宋_GB2312" w:hAnsi="仿宋_GB2312" w:eastAsia="仿宋_GB2312" w:cs="仿宋_GB2312"/>
          <w:bCs/>
          <w:sz w:val="32"/>
          <w:szCs w:val="32"/>
        </w:rPr>
        <w:t>，且缺乏合理的成本解释。</w:t>
      </w:r>
    </w:p>
    <w:p>
      <w:pPr>
        <w:numPr>
          <w:ilvl w:val="255"/>
          <w:numId w:val="0"/>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rPr>
        <w:t>）发电企业与特定售电公司持有的中长期合约电量与现货出清电量存在</w:t>
      </w:r>
      <w:r>
        <w:rPr>
          <w:rFonts w:hint="eastAsia" w:ascii="仿宋_GB2312" w:hAnsi="仿宋_GB2312" w:eastAsia="仿宋_GB2312" w:cs="仿宋_GB2312"/>
          <w:bCs/>
          <w:sz w:val="32"/>
          <w:szCs w:val="32"/>
          <w:shd w:val="clear" w:color="auto" w:fill="FFFFFF"/>
        </w:rPr>
        <w:t>趋势性较大的偏差</w:t>
      </w:r>
      <w:r>
        <w:rPr>
          <w:rFonts w:hint="eastAsia" w:ascii="仿宋_GB2312" w:hAnsi="仿宋_GB2312" w:eastAsia="仿宋_GB2312" w:cs="仿宋_GB2312"/>
          <w:bCs/>
          <w:sz w:val="32"/>
          <w:szCs w:val="32"/>
        </w:rPr>
        <w:t>。</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违规交易（定向交易）</w:t>
      </w:r>
      <w:r>
        <w:rPr>
          <w:rFonts w:hint="eastAsia" w:ascii="仿宋_GB2312" w:hAnsi="仿宋_GB2312" w:eastAsia="仿宋_GB2312" w:cs="仿宋_GB2312"/>
          <w:sz w:val="32"/>
          <w:szCs w:val="32"/>
        </w:rPr>
        <w:t>】在电力市场交易过程中，交易一方以明显偏离市场正常水平的价格、电量或其他条件，与特定对象进行交易，从而实现利益输送或规避市场风险的行为。</w:t>
      </w:r>
      <w:r>
        <w:rPr>
          <w:rFonts w:hint="eastAsia" w:ascii="仿宋_GB2312" w:hAnsi="仿宋_GB2312" w:eastAsia="仿宋_GB2312" w:cs="仿宋_GB2312"/>
          <w:bCs/>
          <w:sz w:val="32"/>
          <w:szCs w:val="32"/>
        </w:rPr>
        <w:t>有下列情形之一的，可视为</w:t>
      </w:r>
      <w:r>
        <w:rPr>
          <w:rFonts w:hint="eastAsia" w:ascii="仿宋_GB2312" w:hAnsi="仿宋_GB2312" w:eastAsia="仿宋_GB2312" w:cs="仿宋_GB2312"/>
          <w:sz w:val="32"/>
          <w:szCs w:val="32"/>
        </w:rPr>
        <w:t>存在定向交易行为</w:t>
      </w:r>
      <w:r>
        <w:rPr>
          <w:rFonts w:hint="eastAsia" w:ascii="仿宋_GB2312" w:hAnsi="仿宋_GB2312" w:eastAsia="仿宋_GB2312" w:cs="仿宋_GB2312"/>
          <w:bCs/>
          <w:sz w:val="32"/>
          <w:szCs w:val="32"/>
        </w:rPr>
        <w:t>。</w:t>
      </w:r>
    </w:p>
    <w:p>
      <w:pPr>
        <w:numPr>
          <w:ilvl w:val="0"/>
          <w:numId w:val="4"/>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出现电量与价格高度匹配特定对象情况，如</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lang w:val="en-US" w:eastAsia="zh-CN"/>
        </w:rPr>
        <w:t>双边交易中，</w:t>
      </w:r>
      <w:r>
        <w:rPr>
          <w:rFonts w:hint="eastAsia" w:ascii="仿宋_GB2312" w:hAnsi="仿宋_GB2312" w:eastAsia="仿宋_GB2312" w:cs="仿宋_GB2312"/>
          <w:bCs/>
          <w:sz w:val="32"/>
          <w:szCs w:val="32"/>
        </w:rPr>
        <w:t>长期、频繁地与同一交易对手成交，且报价或成交价格持续偏离同期市场均价（如异常偏高或偏低）。</w:t>
      </w:r>
    </w:p>
    <w:p>
      <w:pPr>
        <w:numPr>
          <w:ilvl w:val="0"/>
          <w:numId w:val="4"/>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出现规避公开竞争流程情况，如在集中竞价、挂牌交易等</w:t>
      </w:r>
      <w:r>
        <w:rPr>
          <w:rFonts w:hint="eastAsia" w:ascii="仿宋_GB2312" w:hAnsi="仿宋_GB2312" w:eastAsia="仿宋_GB2312" w:cs="仿宋_GB2312"/>
          <w:bCs/>
          <w:sz w:val="32"/>
          <w:szCs w:val="32"/>
          <w:lang w:val="en-US" w:eastAsia="zh-CN"/>
        </w:rPr>
        <w:t>集中交易</w:t>
      </w:r>
      <w:r>
        <w:rPr>
          <w:rFonts w:hint="eastAsia" w:ascii="仿宋_GB2312" w:hAnsi="仿宋_GB2312" w:eastAsia="仿宋_GB2312" w:cs="仿宋_GB2312"/>
          <w:bCs/>
          <w:sz w:val="32"/>
          <w:szCs w:val="32"/>
        </w:rPr>
        <w:t>中，通过约定申报时间、价格、数量等协同行为，确保仅特定对象中标或成交。</w:t>
      </w:r>
    </w:p>
    <w:p>
      <w:pPr>
        <w:numPr>
          <w:ilvl w:val="0"/>
          <w:numId w:val="4"/>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出现利益输送或风险转移情况，如发电企业以低于成本价向特定售电公司或用户售电，售电公司或用户以异常高价向特定发电企业购电，配合对方获取不当竞争优势</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或</w:t>
      </w:r>
      <w:r>
        <w:rPr>
          <w:rFonts w:hint="eastAsia" w:ascii="仿宋_GB2312" w:hAnsi="仿宋_GB2312" w:eastAsia="仿宋_GB2312" w:cs="仿宋_GB2312"/>
          <w:bCs/>
          <w:sz w:val="32"/>
          <w:szCs w:val="32"/>
        </w:rPr>
        <w:t>变相输送利益。</w:t>
      </w:r>
    </w:p>
    <w:p>
      <w:pPr>
        <w:numPr>
          <w:ilvl w:val="0"/>
          <w:numId w:val="1"/>
        </w:numPr>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【其他不正当竞争行为】在电力市场交易过程中，除上述异常交易行为外，</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违反公平、公正、诚信原则，采用欺诈、串通、滥用市场力、虚假信息或其他非市场化手段，排挤竞争对手、扰乱市场秩序、谋取不当利益的行为。</w:t>
      </w:r>
      <w:r>
        <w:rPr>
          <w:rFonts w:hint="eastAsia" w:ascii="仿宋_GB2312" w:hAnsi="仿宋_GB2312" w:eastAsia="仿宋_GB2312" w:cs="仿宋_GB2312"/>
          <w:bCs/>
          <w:sz w:val="32"/>
          <w:szCs w:val="32"/>
        </w:rPr>
        <w:t>有下列情形之一的，可视为</w:t>
      </w:r>
      <w:r>
        <w:rPr>
          <w:rFonts w:hint="eastAsia" w:ascii="仿宋_GB2312" w:hAnsi="仿宋_GB2312" w:eastAsia="仿宋_GB2312" w:cs="仿宋_GB2312"/>
          <w:sz w:val="32"/>
          <w:szCs w:val="32"/>
        </w:rPr>
        <w:t>存在其他不正当竞争行为</w:t>
      </w:r>
      <w:r>
        <w:rPr>
          <w:rFonts w:hint="eastAsia" w:ascii="仿宋_GB2312" w:hAnsi="仿宋_GB2312" w:eastAsia="仿宋_GB2312" w:cs="仿宋_GB2312"/>
          <w:bCs/>
          <w:sz w:val="32"/>
          <w:szCs w:val="32"/>
        </w:rPr>
        <w:t>。</w:t>
      </w:r>
    </w:p>
    <w:p>
      <w:pPr>
        <w:numPr>
          <w:ilvl w:val="0"/>
          <w:numId w:val="5"/>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利用程序化命令、网络攻击、网络侵入等方式访问电力市场技术支持系统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影响交易公平和系统安全</w:t>
      </w:r>
      <w:r>
        <w:rPr>
          <w:rFonts w:hint="eastAsia" w:ascii="仿宋_GB2312" w:hAnsi="仿宋_GB2312" w:eastAsia="仿宋_GB2312" w:cs="仿宋_GB2312"/>
          <w:bCs/>
          <w:sz w:val="32"/>
          <w:szCs w:val="32"/>
        </w:rPr>
        <w:t>。</w:t>
      </w:r>
    </w:p>
    <w:p>
      <w:pPr>
        <w:numPr>
          <w:ilvl w:val="0"/>
          <w:numId w:val="5"/>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发电机组</w:t>
      </w:r>
      <w:r>
        <w:rPr>
          <w:rFonts w:hint="eastAsia" w:ascii="仿宋_GB2312" w:hAnsi="仿宋_GB2312" w:eastAsia="仿宋_GB2312" w:cs="仿宋_GB2312"/>
          <w:bCs/>
          <w:sz w:val="32"/>
          <w:szCs w:val="32"/>
        </w:rPr>
        <w:t>出现不合理地</w:t>
      </w:r>
      <w:r>
        <w:rPr>
          <w:rFonts w:hint="eastAsia" w:ascii="仿宋_GB2312" w:hAnsi="仿宋_GB2312" w:eastAsia="仿宋_GB2312" w:cs="仿宋_GB2312"/>
          <w:bCs/>
          <w:sz w:val="32"/>
          <w:szCs w:val="32"/>
          <w:lang w:val="en-US" w:eastAsia="zh-CN"/>
        </w:rPr>
        <w:t>报价实现</w:t>
      </w:r>
      <w:r>
        <w:rPr>
          <w:rFonts w:hint="eastAsia" w:ascii="仿宋_GB2312" w:hAnsi="仿宋_GB2312" w:eastAsia="仿宋_GB2312" w:cs="仿宋_GB2312"/>
          <w:bCs/>
          <w:sz w:val="32"/>
          <w:szCs w:val="32"/>
        </w:rPr>
        <w:t>停机，</w:t>
      </w:r>
      <w:r>
        <w:rPr>
          <w:rFonts w:hint="eastAsia" w:ascii="仿宋_GB2312" w:hAnsi="仿宋_GB2312" w:eastAsia="仿宋_GB2312" w:cs="仿宋_GB2312"/>
          <w:bCs/>
          <w:sz w:val="32"/>
          <w:szCs w:val="32"/>
          <w:lang w:val="en-US" w:eastAsia="zh-CN"/>
        </w:rPr>
        <w:t>隐瞒设备不可用状态等破坏备用行为。</w:t>
      </w:r>
    </w:p>
    <w:p>
      <w:pPr>
        <w:numPr>
          <w:ilvl w:val="0"/>
          <w:numId w:val="5"/>
        </w:num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售电公司或聚合商违规获取用户的账号、密码等信息，或未经用户许可擅自在交易平台代为操作，以谋取不当利益。利用信息不对称地位，以欺骗、误导等方式，与用户签订合约，或完成交易。</w:t>
      </w:r>
    </w:p>
    <w:p>
      <w:pPr>
        <w:numPr>
          <w:ilvl w:val="0"/>
          <w:numId w:val="5"/>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出现欺诈与虚假行为情况，如在资质申报、容量申报、成本报备或交易报价时，故意提供虚假、误导性的数据或材料。</w:t>
      </w:r>
    </w:p>
    <w:p>
      <w:pPr>
        <w:numPr>
          <w:ilvl w:val="0"/>
          <w:numId w:val="5"/>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出现利用规则漏洞或技术手段情况，如在特定市场规则下，通过极端策略性报价来不当影响边际出清价格；利用网络阻塞、机组故障等信息，进行损害市场公平的交易。</w:t>
      </w:r>
    </w:p>
    <w:p>
      <w:pPr>
        <w:numPr>
          <w:ilvl w:val="0"/>
          <w:numId w:val="5"/>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出现新型</w:t>
      </w:r>
      <w:r>
        <w:rPr>
          <w:rFonts w:hint="eastAsia" w:ascii="仿宋_GB2312" w:hAnsi="仿宋_GB2312" w:eastAsia="仿宋_GB2312" w:cs="仿宋_GB2312"/>
          <w:bCs/>
          <w:sz w:val="32"/>
          <w:szCs w:val="32"/>
          <w:lang w:val="en-US" w:eastAsia="zh-CN"/>
        </w:rPr>
        <w:t>主体</w:t>
      </w:r>
      <w:r>
        <w:rPr>
          <w:rFonts w:hint="eastAsia" w:ascii="仿宋_GB2312" w:hAnsi="仿宋_GB2312" w:eastAsia="仿宋_GB2312" w:cs="仿宋_GB2312"/>
          <w:bCs/>
          <w:sz w:val="32"/>
          <w:szCs w:val="32"/>
        </w:rPr>
        <w:t>不正当竞争情况，如拥有调节能力的主体串通或滥用优势，操纵</w:t>
      </w:r>
      <w:r>
        <w:rPr>
          <w:rFonts w:hint="eastAsia" w:ascii="仿宋_GB2312" w:hAnsi="仿宋_GB2312" w:eastAsia="仿宋_GB2312" w:cs="仿宋_GB2312"/>
          <w:bCs/>
          <w:sz w:val="32"/>
          <w:szCs w:val="32"/>
          <w:lang w:val="en-US" w:eastAsia="zh-CN"/>
        </w:rPr>
        <w:t>市场</w:t>
      </w:r>
      <w:r>
        <w:rPr>
          <w:rFonts w:hint="eastAsia" w:ascii="仿宋_GB2312" w:hAnsi="仿宋_GB2312" w:eastAsia="仿宋_GB2312" w:cs="仿宋_GB2312"/>
          <w:bCs/>
          <w:sz w:val="32"/>
          <w:szCs w:val="32"/>
        </w:rPr>
        <w:t>价格；虚报或操纵其聚合的分布式资源可调节能力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谋取不正当利益等</w:t>
      </w:r>
      <w:r>
        <w:rPr>
          <w:rFonts w:hint="eastAsia" w:ascii="仿宋_GB2312" w:hAnsi="仿宋_GB2312" w:eastAsia="仿宋_GB2312" w:cs="仿宋_GB2312"/>
          <w:bCs/>
          <w:sz w:val="32"/>
          <w:szCs w:val="32"/>
        </w:rPr>
        <w:t>。</w:t>
      </w:r>
    </w:p>
    <w:p>
      <w:pPr>
        <w:spacing w:after="0" w:line="580" w:lineRule="exact"/>
        <w:jc w:val="left"/>
        <w:rPr>
          <w:rFonts w:eastAsia="仿宋_GB2312"/>
          <w:b/>
        </w:rPr>
      </w:pPr>
    </w:p>
    <w:p>
      <w:pPr>
        <w:numPr>
          <w:ilvl w:val="255"/>
          <w:numId w:val="0"/>
        </w:numPr>
        <w:spacing w:after="0" w:line="580" w:lineRule="exact"/>
        <w:jc w:val="center"/>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第四章 异常行为处置</w:t>
      </w:r>
    </w:p>
    <w:p>
      <w:pPr>
        <w:numPr>
          <w:ilvl w:val="0"/>
          <w:numId w:val="1"/>
        </w:numPr>
        <w:tabs>
          <w:tab w:val="clear" w:pos="1814"/>
        </w:tabs>
        <w:spacing w:after="0" w:line="580" w:lineRule="exact"/>
        <w:ind w:left="0" w:firstLine="70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异常行为处置要求</w:t>
      </w:r>
      <w:r>
        <w:rPr>
          <w:rFonts w:hint="eastAsia" w:ascii="仿宋_GB2312" w:hAnsi="仿宋_GB2312" w:eastAsia="仿宋_GB2312" w:cs="仿宋_GB2312"/>
          <w:sz w:val="32"/>
          <w:szCs w:val="32"/>
        </w:rPr>
        <w:t>】市场监测中发现的异常行为按以下工作流程处置：</w:t>
      </w:r>
    </w:p>
    <w:p>
      <w:p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val="en-US" w:eastAsia="zh-CN"/>
        </w:rPr>
        <w:t>线索</w:t>
      </w:r>
      <w:r>
        <w:rPr>
          <w:rFonts w:hint="eastAsia" w:ascii="仿宋_GB2312" w:hAnsi="仿宋_GB2312" w:eastAsia="仿宋_GB2312" w:cs="仿宋_GB2312"/>
          <w:bCs/>
          <w:sz w:val="32"/>
          <w:szCs w:val="32"/>
        </w:rPr>
        <w:t>生成。电力市场运营机构发现</w:t>
      </w:r>
      <w:r>
        <w:rPr>
          <w:rFonts w:hint="eastAsia" w:ascii="仿宋_GB2312" w:hAnsi="仿宋_GB2312" w:eastAsia="仿宋_GB2312" w:cs="仿宋_GB2312"/>
          <w:bCs/>
          <w:sz w:val="32"/>
          <w:szCs w:val="32"/>
          <w:lang w:eastAsia="zh-CN"/>
        </w:rPr>
        <w:t>电力交易主体</w:t>
      </w:r>
      <w:r>
        <w:rPr>
          <w:rFonts w:hint="eastAsia" w:ascii="仿宋_GB2312" w:hAnsi="仿宋_GB2312" w:eastAsia="仿宋_GB2312" w:cs="仿宋_GB2312"/>
          <w:bCs/>
          <w:sz w:val="32"/>
          <w:szCs w:val="32"/>
        </w:rPr>
        <w:t>市场行为满足</w:t>
      </w:r>
      <w:r>
        <w:rPr>
          <w:rFonts w:hint="eastAsia" w:ascii="仿宋_GB2312" w:hAnsi="仿宋_GB2312" w:eastAsia="仿宋_GB2312" w:cs="仿宋_GB2312"/>
          <w:bCs/>
          <w:sz w:val="32"/>
          <w:szCs w:val="32"/>
          <w:lang w:val="en-US" w:eastAsia="zh-CN"/>
        </w:rPr>
        <w:t>异常行为</w:t>
      </w:r>
      <w:r>
        <w:rPr>
          <w:rFonts w:hint="eastAsia" w:ascii="仿宋_GB2312" w:hAnsi="仿宋_GB2312" w:eastAsia="仿宋_GB2312" w:cs="仿宋_GB2312"/>
          <w:bCs/>
          <w:sz w:val="32"/>
          <w:szCs w:val="32"/>
        </w:rPr>
        <w:t>判断条件，生成异常行为线索。</w:t>
      </w:r>
    </w:p>
    <w:p>
      <w:p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（二）初步核实。电力市场运营机构对异常行为线索进行初步核实并认定是否构成异常行为。</w:t>
      </w:r>
      <w:r>
        <w:rPr>
          <w:rFonts w:hint="eastAsia" w:ascii="仿宋_GB2312" w:hAnsi="仿宋_GB2312" w:eastAsia="仿宋_GB2312" w:cs="仿宋_GB2312"/>
          <w:bCs/>
          <w:sz w:val="32"/>
          <w:szCs w:val="32"/>
          <w:lang w:eastAsia="zh-CN"/>
        </w:rPr>
        <w:t>电力交易主体</w:t>
      </w:r>
      <w:r>
        <w:rPr>
          <w:rFonts w:hint="eastAsia" w:ascii="仿宋_GB2312" w:hAnsi="仿宋_GB2312" w:eastAsia="仿宋_GB2312" w:cs="仿宋_GB2312"/>
          <w:bCs/>
          <w:sz w:val="32"/>
          <w:szCs w:val="32"/>
        </w:rPr>
        <w:t>应积极配合电力市场运营机构进行解释说明，并有权在收到告知后的一定期限内提交正式申辩材料。</w:t>
      </w:r>
      <w:r>
        <w:rPr>
          <w:rFonts w:hint="eastAsia" w:ascii="仿宋_GB2312" w:hAnsi="仿宋_GB2312" w:eastAsia="仿宋_GB2312" w:cs="仿宋_GB2312"/>
          <w:bCs/>
          <w:sz w:val="32"/>
          <w:szCs w:val="32"/>
          <w:highlight w:val="none"/>
        </w:rPr>
        <w:t>山东能源监管办</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省发展改革委、省能源局</w:t>
      </w:r>
      <w:r>
        <w:rPr>
          <w:rFonts w:hint="eastAsia" w:ascii="仿宋_GB2312" w:hAnsi="仿宋_GB2312" w:eastAsia="仿宋_GB2312" w:cs="仿宋_GB2312"/>
          <w:bCs/>
          <w:sz w:val="32"/>
          <w:szCs w:val="32"/>
        </w:rPr>
        <w:t>收到有关异常行为情况反映的，转电力市场运营机构进行初步核实。</w:t>
      </w:r>
    </w:p>
    <w:p>
      <w:p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（三）市场自律。对于经认定不构成违法违规且属于一般性影响的异常行为，按照市场自律有关工作制度处理，并向山东能源监管办报送有关信息。</w:t>
      </w:r>
    </w:p>
    <w:p>
      <w:p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（四）指导处理。对于经认定不构成违法违规但属于普遍性且有重大影响的异常行为，由山东能源监管办指导电力市场运营机构进行处理。</w:t>
      </w:r>
    </w:p>
    <w:p>
      <w:pPr>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（五）移送处理。对于经认定涉嫌违法违规的异常行为，由电力市场运营机构报山东能源监管办</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省发展改革委、省能源局</w:t>
      </w:r>
      <w:r>
        <w:rPr>
          <w:rFonts w:hint="eastAsia" w:ascii="仿宋_GB2312" w:hAnsi="仿宋_GB2312" w:eastAsia="仿宋_GB2312" w:cs="仿宋_GB2312"/>
          <w:bCs/>
          <w:sz w:val="32"/>
          <w:szCs w:val="32"/>
        </w:rPr>
        <w:t>按职责分工进行调查处理。</w:t>
      </w:r>
    </w:p>
    <w:p>
      <w:pPr>
        <w:numPr>
          <w:ilvl w:val="0"/>
          <w:numId w:val="1"/>
        </w:numPr>
        <w:tabs>
          <w:tab w:val="clear" w:pos="1814"/>
        </w:tabs>
        <w:spacing w:after="0" w:line="580" w:lineRule="exact"/>
        <w:ind w:left="0" w:firstLine="70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异常行为处置标准</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highlight w:val="none"/>
        </w:rPr>
        <w:t>电力市场运营机构</w:t>
      </w:r>
      <w:r>
        <w:rPr>
          <w:rFonts w:hint="eastAsia" w:ascii="仿宋_GB2312" w:hAnsi="仿宋_GB2312" w:eastAsia="仿宋_GB2312" w:cs="仿宋_GB2312"/>
          <w:bCs/>
          <w:sz w:val="32"/>
          <w:szCs w:val="32"/>
          <w:highlight w:val="none"/>
          <w:lang w:val="en-US" w:eastAsia="zh-CN"/>
        </w:rPr>
        <w:t>组织电力交易主体</w:t>
      </w:r>
      <w:r>
        <w:rPr>
          <w:rFonts w:hint="eastAsia" w:ascii="仿宋_GB2312" w:hAnsi="仿宋_GB2312" w:eastAsia="仿宋_GB2312" w:cs="仿宋_GB2312"/>
          <w:bCs/>
          <w:sz w:val="32"/>
          <w:szCs w:val="32"/>
          <w:highlight w:val="none"/>
        </w:rPr>
        <w:t>研究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提出适用于异常行为监测识别的启动条件或触发阈值以及分级分类处置的操作性流程等</w:t>
      </w:r>
      <w:r>
        <w:rPr>
          <w:rFonts w:hint="eastAsia" w:ascii="仿宋_GB2312" w:hAnsi="仿宋_GB2312" w:eastAsia="仿宋_GB2312" w:cs="仿宋_GB2312"/>
          <w:bCs/>
          <w:sz w:val="32"/>
          <w:szCs w:val="32"/>
        </w:rPr>
        <w:t>，经电力市场管理委员会审议通过，报山东能源监管办审定同意后执行。</w:t>
      </w:r>
    </w:p>
    <w:p>
      <w:pPr>
        <w:numPr>
          <w:ilvl w:val="0"/>
          <w:numId w:val="1"/>
        </w:numPr>
        <w:tabs>
          <w:tab w:val="clear" w:pos="1814"/>
        </w:tabs>
        <w:spacing w:after="0" w:line="580" w:lineRule="exact"/>
        <w:ind w:left="0" w:firstLine="70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w:t>
      </w:r>
      <w:r>
        <w:rPr>
          <w:rFonts w:hint="eastAsia" w:ascii="仿宋_GB2312" w:hAnsi="仿宋_GB2312" w:eastAsia="仿宋_GB2312" w:cs="仿宋_GB2312"/>
          <w:bCs/>
          <w:sz w:val="32"/>
          <w:szCs w:val="32"/>
          <w:lang w:val="en-US" w:eastAsia="zh-CN"/>
        </w:rPr>
        <w:t>线索</w:t>
      </w:r>
      <w:r>
        <w:rPr>
          <w:rFonts w:hint="eastAsia" w:ascii="仿宋_GB2312" w:hAnsi="仿宋_GB2312" w:eastAsia="仿宋_GB2312" w:cs="仿宋_GB2312"/>
          <w:bCs/>
          <w:sz w:val="32"/>
          <w:szCs w:val="32"/>
        </w:rPr>
        <w:t>生成</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电力市场运营机构根据设定的启动条件或阈值，明确内部职责分工，</w:t>
      </w:r>
      <w:r>
        <w:rPr>
          <w:rFonts w:hint="eastAsia" w:ascii="仿宋_GB2312" w:hAnsi="仿宋_GB2312" w:eastAsia="仿宋_GB2312" w:cs="仿宋_GB2312"/>
          <w:bCs/>
          <w:sz w:val="32"/>
          <w:szCs w:val="32"/>
          <w:lang w:val="en-US" w:eastAsia="zh-CN"/>
        </w:rPr>
        <w:t>开展</w:t>
      </w:r>
      <w:r>
        <w:rPr>
          <w:rFonts w:hint="eastAsia" w:ascii="仿宋_GB2312" w:hAnsi="仿宋_GB2312" w:eastAsia="仿宋_GB2312" w:cs="仿宋_GB2312"/>
          <w:bCs/>
          <w:sz w:val="32"/>
          <w:szCs w:val="32"/>
        </w:rPr>
        <w:t>监测分析，有效识别各类电力市场异常行为，及时生成异常行为线索。</w:t>
      </w:r>
    </w:p>
    <w:p>
      <w:pPr>
        <w:numPr>
          <w:ilvl w:val="0"/>
          <w:numId w:val="1"/>
        </w:numPr>
        <w:tabs>
          <w:tab w:val="clear" w:pos="1814"/>
        </w:tabs>
        <w:spacing w:after="0" w:line="580" w:lineRule="exact"/>
        <w:ind w:left="0" w:firstLine="70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异常行为初步核实</w:t>
      </w:r>
      <w:r>
        <w:rPr>
          <w:rFonts w:hint="eastAsia" w:ascii="仿宋_GB2312" w:hAnsi="仿宋_GB2312" w:eastAsia="仿宋_GB2312" w:cs="仿宋_GB2312"/>
          <w:sz w:val="32"/>
          <w:szCs w:val="32"/>
        </w:rPr>
        <w:t>】电力市场运营机构针对发现的异常行为</w:t>
      </w:r>
      <w:r>
        <w:rPr>
          <w:rFonts w:hint="eastAsia" w:ascii="仿宋_GB2312" w:hAnsi="仿宋_GB2312" w:eastAsia="仿宋_GB2312" w:cs="仿宋_GB2312"/>
          <w:sz w:val="32"/>
          <w:szCs w:val="32"/>
          <w:lang w:val="en-US" w:eastAsia="zh-CN"/>
        </w:rPr>
        <w:t>线索</w:t>
      </w:r>
      <w:r>
        <w:rPr>
          <w:rFonts w:hint="eastAsia" w:ascii="仿宋_GB2312" w:hAnsi="仿宋_GB2312" w:eastAsia="仿宋_GB2312" w:cs="仿宋_GB2312"/>
          <w:sz w:val="32"/>
          <w:szCs w:val="32"/>
        </w:rPr>
        <w:t>，可按照以下方式进行核实：</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（一）通过电力市场技术支持系统及市场监测信息化系统等查阅、复制与电力市场交易活动有关的信息、资料；</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（二）就有关事项通过录音电话、电子邮件、书面等方式询问有关</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人员就有关事项进行陈述、解释或说明并提供有关材料；</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（四）国家和山东省有关政策文件规定的其他核实方式。</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拒不配合开展异常行为核实的，电力市场运营机构应将此情况记录，</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sz w:val="32"/>
          <w:szCs w:val="32"/>
        </w:rPr>
        <w:t>新的异常行为线索，依据本指引第十四条启动处置程序，同时报告山东能源监管办。</w:t>
      </w:r>
    </w:p>
    <w:p>
      <w:pPr>
        <w:tabs>
          <w:tab w:val="left" w:pos="1814"/>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对拒不配合开展异常行为核实的</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，由电力交易机构将其行为纳入电力市场信用评价管理。</w:t>
      </w:r>
    </w:p>
    <w:p>
      <w:pPr>
        <w:numPr>
          <w:ilvl w:val="0"/>
          <w:numId w:val="1"/>
        </w:numPr>
        <w:tabs>
          <w:tab w:val="clear" w:pos="1814"/>
        </w:tabs>
        <w:spacing w:after="0" w:line="580" w:lineRule="exact"/>
        <w:ind w:left="0" w:firstLine="70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市场自律</w:t>
      </w:r>
      <w:r>
        <w:rPr>
          <w:rFonts w:hint="eastAsia" w:ascii="仿宋_GB2312" w:hAnsi="仿宋_GB2312" w:eastAsia="仿宋_GB2312" w:cs="仿宋_GB2312"/>
          <w:sz w:val="32"/>
          <w:szCs w:val="32"/>
        </w:rPr>
        <w:t>】对于经认定不构成违法违规且属于一般性影响的异常行为，按照市场自律有关工作制度处理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提交电力市场管理委员会进行审议通过后执行。相关情况及时报山东能源监管办备案。</w:t>
      </w:r>
    </w:p>
    <w:p>
      <w:pPr>
        <w:numPr>
          <w:ilvl w:val="0"/>
          <w:numId w:val="1"/>
        </w:numPr>
        <w:tabs>
          <w:tab w:val="clear" w:pos="1814"/>
        </w:tabs>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异常行为指导处理</w:t>
      </w:r>
      <w:r>
        <w:rPr>
          <w:rFonts w:hint="eastAsia" w:ascii="仿宋_GB2312" w:hAnsi="仿宋_GB2312" w:eastAsia="仿宋_GB2312" w:cs="仿宋_GB2312"/>
          <w:sz w:val="32"/>
          <w:szCs w:val="32"/>
        </w:rPr>
        <w:t>】对于经认定不构成违法违规但属于普遍性且有重大影响的异常行为，由山东能源监管办、省发展改革委、省能源局指导电力市场运营机构进行处理。</w:t>
      </w:r>
    </w:p>
    <w:p>
      <w:pPr>
        <w:numPr>
          <w:ilvl w:val="0"/>
          <w:numId w:val="1"/>
        </w:numPr>
        <w:tabs>
          <w:tab w:val="clear" w:pos="1814"/>
        </w:tabs>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w:t>
      </w:r>
      <w:r>
        <w:rPr>
          <w:rFonts w:hint="eastAsia" w:ascii="仿宋_GB2312" w:hAnsi="仿宋_GB2312" w:eastAsia="仿宋_GB2312" w:cs="仿宋_GB2312"/>
          <w:bCs/>
          <w:sz w:val="32"/>
          <w:szCs w:val="32"/>
          <w:lang w:val="en-US" w:eastAsia="zh-CN"/>
        </w:rPr>
        <w:t>移送处理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异常行为，涉嫌违反国家法律法规和电力市场相关规则文件的，电力市场运营机构应当及时将有关线索及支撑材料一并报送山东能源监管办或其他有关部门处理。</w:t>
      </w:r>
    </w:p>
    <w:p>
      <w:pPr>
        <w:numPr>
          <w:ilvl w:val="255"/>
          <w:numId w:val="0"/>
        </w:numPr>
        <w:adjustRightInd w:val="0"/>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山东能源监管办、省发展改革委、省能源局收到电力市场运营机构报送的电力市场异常行为线索后，按照职责和国家有关规定进行调查，并根据调查结果依法处理。</w:t>
      </w:r>
    </w:p>
    <w:p>
      <w:pPr>
        <w:numPr>
          <w:ilvl w:val="0"/>
          <w:numId w:val="1"/>
        </w:numPr>
        <w:tabs>
          <w:tab w:val="clear" w:pos="1814"/>
        </w:tabs>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异常行为信息记录</w:t>
      </w:r>
      <w:r>
        <w:rPr>
          <w:rFonts w:hint="eastAsia" w:ascii="仿宋_GB2312" w:hAnsi="仿宋_GB2312" w:eastAsia="仿宋_GB2312" w:cs="仿宋_GB2312"/>
          <w:sz w:val="32"/>
          <w:szCs w:val="32"/>
        </w:rPr>
        <w:t>】电力市场运营机构应当建立电力市场异常行为及处置情况台账，完整准确记录异常行为线索生成、初步核实以及分类处置结果等，相关信息至少保存三年。</w:t>
      </w:r>
    </w:p>
    <w:p>
      <w:pPr>
        <w:spacing w:after="0" w:line="580" w:lineRule="exact"/>
        <w:jc w:val="center"/>
        <w:rPr>
          <w:rFonts w:hint="eastAsia" w:ascii="方正黑体_GBK" w:hAnsi="方正黑体_GBK" w:eastAsia="方正黑体_GBK" w:cs="方正黑体_GBK"/>
          <w:sz w:val="32"/>
          <w:szCs w:val="32"/>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numPr>
          <w:ilvl w:val="0"/>
          <w:numId w:val="1"/>
        </w:numPr>
        <w:tabs>
          <w:tab w:val="clear" w:pos="1814"/>
        </w:tabs>
        <w:spacing w:after="0" w:line="580" w:lineRule="exact"/>
        <w:ind w:left="0"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解释与修订</w:t>
      </w:r>
      <w:r>
        <w:rPr>
          <w:rFonts w:hint="eastAsia" w:ascii="仿宋_GB2312" w:hAnsi="仿宋_GB2312" w:eastAsia="仿宋_GB2312" w:cs="仿宋_GB2312"/>
          <w:sz w:val="32"/>
          <w:szCs w:val="32"/>
        </w:rPr>
        <w:t>】本指引由山东能源监管办负责解释，根据市场发展需要及时修订</w:t>
      </w:r>
      <w:r>
        <w:rPr>
          <w:rFonts w:hint="eastAsia" w:ascii="仿宋_GB2312" w:hAnsi="仿宋_GB2312" w:eastAsia="仿宋_GB2312" w:cs="仿宋_GB2312"/>
          <w:bCs/>
          <w:sz w:val="32"/>
          <w:szCs w:val="32"/>
        </w:rPr>
        <w:t>。</w:t>
      </w:r>
    </w:p>
    <w:p/>
    <w:sectPr>
      <w:pgSz w:w="11906" w:h="16838"/>
      <w:pgMar w:top="198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38078"/>
    <w:multiLevelType w:val="singleLevel"/>
    <w:tmpl w:val="E2738078"/>
    <w:lvl w:ilvl="0" w:tentative="0">
      <w:start w:val="1"/>
      <w:numFmt w:val="chineseCounting"/>
      <w:suff w:val="nothing"/>
      <w:lvlText w:val="（%1）"/>
      <w:lvlJc w:val="left"/>
      <w:rPr>
        <w:rFonts w:hint="eastAsia"/>
      </w:rPr>
    </w:lvl>
  </w:abstractNum>
  <w:abstractNum w:abstractNumId="1">
    <w:nsid w:val="E64C5AF3"/>
    <w:multiLevelType w:val="multilevel"/>
    <w:tmpl w:val="E64C5AF3"/>
    <w:lvl w:ilvl="0" w:tentative="0">
      <w:start w:val="1"/>
      <w:numFmt w:val="chineseCountingThousand"/>
      <w:lvlText w:val="第%1条"/>
      <w:lvlJc w:val="left"/>
      <w:pPr>
        <w:tabs>
          <w:tab w:val="left" w:pos="1814"/>
        </w:tabs>
        <w:ind w:left="3345" w:hanging="1785"/>
      </w:pPr>
      <w:rPr>
        <w:rFonts w:hint="eastAsia" w:ascii="仿宋" w:hAnsi="仿宋" w:eastAsia="仿宋"/>
        <w:b/>
        <w:shd w:val="clear" w:color="auto" w:fill="auto"/>
        <w:lang w:val="en-US"/>
      </w:rPr>
    </w:lvl>
    <w:lvl w:ilvl="1" w:tentative="0">
      <w:start w:val="1"/>
      <w:numFmt w:val="lowerLetter"/>
      <w:lvlText w:val="%2)"/>
      <w:lvlJc w:val="left"/>
      <w:pPr>
        <w:ind w:left="1623" w:hanging="420"/>
      </w:pPr>
      <w:rPr>
        <w:rFonts w:hint="eastAsia"/>
      </w:rPr>
    </w:lvl>
    <w:lvl w:ilvl="2" w:tentative="0">
      <w:start w:val="1"/>
      <w:numFmt w:val="lowerRoman"/>
      <w:lvlText w:val="%3."/>
      <w:lvlJc w:val="right"/>
      <w:pPr>
        <w:ind w:left="2043" w:hanging="420"/>
      </w:pPr>
      <w:rPr>
        <w:rFonts w:hint="eastAsia"/>
      </w:rPr>
    </w:lvl>
    <w:lvl w:ilvl="3" w:tentative="0">
      <w:start w:val="1"/>
      <w:numFmt w:val="decimal"/>
      <w:lvlText w:val="%4."/>
      <w:lvlJc w:val="left"/>
      <w:pPr>
        <w:ind w:left="2463" w:hanging="420"/>
      </w:pPr>
      <w:rPr>
        <w:rFonts w:hint="eastAsia"/>
      </w:rPr>
    </w:lvl>
    <w:lvl w:ilvl="4" w:tentative="0">
      <w:start w:val="1"/>
      <w:numFmt w:val="lowerLetter"/>
      <w:lvlText w:val="%5)"/>
      <w:lvlJc w:val="left"/>
      <w:pPr>
        <w:ind w:left="2883" w:hanging="420"/>
      </w:pPr>
      <w:rPr>
        <w:rFonts w:hint="eastAsia"/>
      </w:rPr>
    </w:lvl>
    <w:lvl w:ilvl="5" w:tentative="0">
      <w:start w:val="1"/>
      <w:numFmt w:val="lowerRoman"/>
      <w:lvlText w:val="%6."/>
      <w:lvlJc w:val="right"/>
      <w:pPr>
        <w:ind w:left="3303" w:hanging="420"/>
      </w:pPr>
      <w:rPr>
        <w:rFonts w:hint="eastAsia"/>
      </w:rPr>
    </w:lvl>
    <w:lvl w:ilvl="6" w:tentative="0">
      <w:start w:val="1"/>
      <w:numFmt w:val="decimal"/>
      <w:lvlText w:val="%7."/>
      <w:lvlJc w:val="left"/>
      <w:pPr>
        <w:ind w:left="3723" w:hanging="420"/>
      </w:pPr>
      <w:rPr>
        <w:rFonts w:hint="eastAsia"/>
      </w:rPr>
    </w:lvl>
    <w:lvl w:ilvl="7" w:tentative="0">
      <w:start w:val="1"/>
      <w:numFmt w:val="lowerLetter"/>
      <w:lvlText w:val="%8)"/>
      <w:lvlJc w:val="left"/>
      <w:pPr>
        <w:ind w:left="4143" w:hanging="420"/>
      </w:pPr>
      <w:rPr>
        <w:rFonts w:hint="eastAsia"/>
      </w:rPr>
    </w:lvl>
    <w:lvl w:ilvl="8" w:tentative="0">
      <w:start w:val="1"/>
      <w:numFmt w:val="lowerRoman"/>
      <w:lvlText w:val="%9."/>
      <w:lvlJc w:val="right"/>
      <w:pPr>
        <w:ind w:left="4563" w:hanging="420"/>
      </w:pPr>
      <w:rPr>
        <w:rFonts w:hint="eastAsia"/>
      </w:rPr>
    </w:lvl>
  </w:abstractNum>
  <w:abstractNum w:abstractNumId="2">
    <w:nsid w:val="ED3ABAA4"/>
    <w:multiLevelType w:val="singleLevel"/>
    <w:tmpl w:val="ED3ABAA4"/>
    <w:lvl w:ilvl="0" w:tentative="0">
      <w:start w:val="1"/>
      <w:numFmt w:val="chineseCounting"/>
      <w:suff w:val="nothing"/>
      <w:lvlText w:val="（%1）"/>
      <w:lvlJc w:val="left"/>
      <w:rPr>
        <w:rFonts w:hint="eastAsia"/>
      </w:rPr>
    </w:lvl>
  </w:abstractNum>
  <w:abstractNum w:abstractNumId="3">
    <w:nsid w:val="35AF0C4B"/>
    <w:multiLevelType w:val="singleLevel"/>
    <w:tmpl w:val="35AF0C4B"/>
    <w:lvl w:ilvl="0" w:tentative="0">
      <w:start w:val="1"/>
      <w:numFmt w:val="chineseCounting"/>
      <w:suff w:val="nothing"/>
      <w:lvlText w:val="（%1）"/>
      <w:lvlJc w:val="left"/>
      <w:rPr>
        <w:rFonts w:hint="eastAsia"/>
      </w:rPr>
    </w:lvl>
  </w:abstractNum>
  <w:abstractNum w:abstractNumId="4">
    <w:nsid w:val="6E8D8B5F"/>
    <w:multiLevelType w:val="singleLevel"/>
    <w:tmpl w:val="6E8D8B5F"/>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2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2"/>
    </w:rPr>
  </w:style>
  <w:style w:type="paragraph" w:styleId="3">
    <w:name w:val="Normal (Web)"/>
    <w:basedOn w:val="1"/>
    <w:qFormat/>
    <w:uiPriority w:val="0"/>
    <w:pPr>
      <w:spacing w:beforeAutospacing="1" w:after="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2026-03-23T00:20:12Z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