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20" w:rsidRDefault="00382D20" w:rsidP="00382D20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382D20" w:rsidRDefault="00382D20" w:rsidP="00382D20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21号</w:t>
      </w:r>
    </w:p>
    <w:p w:rsidR="00382D20" w:rsidRDefault="00382D20" w:rsidP="00382D20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382D20" w:rsidRDefault="00382D20" w:rsidP="00382D20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hAnsi="Times New Roman"/>
          <w:color w:val="000000"/>
          <w:sz w:val="32"/>
          <w:szCs w:val="32"/>
        </w:rPr>
        <w:t>中电建（青岛）新能源有限公司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</w:p>
    <w:p w:rsidR="001E3F48" w:rsidRPr="00382D20" w:rsidRDefault="001E3F48" w:rsidP="00382D20">
      <w:bookmarkStart w:id="0" w:name="_GoBack"/>
      <w:bookmarkEnd w:id="0"/>
    </w:p>
    <w:sectPr w:rsidR="001E3F48" w:rsidRPr="0038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D"/>
    <w:rsid w:val="001E3F48"/>
    <w:rsid w:val="00382D20"/>
    <w:rsid w:val="009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6BBEA-D041-4F43-91F1-05479FE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2B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TopIos.Cn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2</cp:revision>
  <dcterms:created xsi:type="dcterms:W3CDTF">2025-05-28T07:18:00Z</dcterms:created>
  <dcterms:modified xsi:type="dcterms:W3CDTF">2025-05-28T07:18:00Z</dcterms:modified>
</cp:coreProperties>
</file>