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8D" w:rsidRDefault="009A2B8D" w:rsidP="009A2B8D">
      <w:pPr>
        <w:pStyle w:val="a3"/>
        <w:spacing w:beforeAutospacing="0" w:afterAutospacing="0"/>
        <w:jc w:val="center"/>
      </w:pPr>
      <w:bookmarkStart w:id="0" w:name="_GoBack"/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:rsidR="009A2B8D" w:rsidRDefault="009A2B8D" w:rsidP="009A2B8D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20号</w:t>
      </w:r>
      <w:bookmarkEnd w:id="0"/>
    </w:p>
    <w:p w:rsidR="009A2B8D" w:rsidRDefault="009A2B8D" w:rsidP="009A2B8D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:rsidR="009A2B8D" w:rsidRDefault="009A2B8D" w:rsidP="009A2B8D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hAnsi="Times New Roman"/>
          <w:color w:val="000000"/>
          <w:sz w:val="32"/>
          <w:szCs w:val="32"/>
        </w:rPr>
        <w:t>滨州市沾化区金惠新能源有限公司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未按照规定办理工程质量监督手续，依据《建设工程质量管理条例》相关规定，对其进行行政处罚。</w:t>
      </w:r>
    </w:p>
    <w:p w:rsidR="001E3F48" w:rsidRPr="009A2B8D" w:rsidRDefault="001E3F48"/>
    <w:sectPr w:rsidR="001E3F48" w:rsidRPr="009A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8D"/>
    <w:rsid w:val="001E3F48"/>
    <w:rsid w:val="009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6BBEA-D041-4F43-91F1-05479FE1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A2B8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TopIos.Cn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aFeng</dc:creator>
  <cp:keywords/>
  <dc:description/>
  <cp:lastModifiedBy>aFeng</cp:lastModifiedBy>
  <cp:revision>1</cp:revision>
  <dcterms:created xsi:type="dcterms:W3CDTF">2025-05-28T07:18:00Z</dcterms:created>
  <dcterms:modified xsi:type="dcterms:W3CDTF">2025-05-28T07:18:00Z</dcterms:modified>
</cp:coreProperties>
</file>