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E90B" w14:textId="77777777" w:rsidR="00307F31" w:rsidRDefault="00307F31" w:rsidP="00307F31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3E92F87A" w14:textId="77777777" w:rsidR="00307F31" w:rsidRDefault="00307F31" w:rsidP="00307F31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11号</w:t>
      </w:r>
    </w:p>
    <w:p w14:paraId="275343FA" w14:textId="77777777" w:rsidR="00307F31" w:rsidRDefault="00307F31" w:rsidP="00307F31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406397A0" w14:textId="77777777" w:rsidR="00307F31" w:rsidRDefault="00307F31" w:rsidP="00307F31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烟台东源送变电工程有限责任公司</w:t>
      </w:r>
      <w:r>
        <w:rPr>
          <w:rFonts w:ascii="Times New Roman" w:eastAsia="仿宋_GB2312" w:hAnsi="Times New Roman"/>
          <w:sz w:val="32"/>
          <w:szCs w:val="32"/>
          <w:lang w:bidi="ar"/>
        </w:rPr>
        <w:t>违法分包承装（修、试）电力设施业务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Fonts w:ascii="Times New Roman" w:eastAsia="仿宋_GB2312" w:hAnsi="Times New Roman"/>
          <w:sz w:val="32"/>
          <w:szCs w:val="32"/>
        </w:rPr>
        <w:t>《承装（修、试）电力设施许可证管理办法》</w:t>
      </w:r>
      <w:r>
        <w:rPr>
          <w:rFonts w:eastAsia="仿宋_GB2312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《建设工程质量管理条例》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规定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，对其进行行政处罚。</w:t>
      </w:r>
      <w:bookmarkStart w:id="0" w:name="_GoBack"/>
      <w:bookmarkEnd w:id="0"/>
    </w:p>
    <w:sectPr w:rsidR="00307F31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7C0D"/>
    <w:rsid w:val="00307F31"/>
    <w:rsid w:val="00847F06"/>
    <w:rsid w:val="00A9043C"/>
    <w:rsid w:val="00CD3AC5"/>
    <w:rsid w:val="672C460E"/>
    <w:rsid w:val="723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4B3D"/>
  <w15:docId w15:val="{CDBAA192-E9C2-4786-968C-F3392EF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TopIos.Cn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2025-05-09T08:07:00Z</dcterms:created>
  <dcterms:modified xsi:type="dcterms:W3CDTF">2025-05-09T08:07:00Z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08288B09E4BF4DE6A8D823132D8EDFA7_11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