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山东五洲电气股份有限公司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违法分包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承装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电力设施业务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《承装（修、试）电力设施许可证管理办法》第三十四条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《建设工程质量管理条例》第六十二条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罚款、没收违法所得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作出行政处罚决定如下：处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>146469.93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元罚款；没收违法所得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>532558.94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>146469.93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>532558.94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  <w:bookmarkStart w:id="0" w:name="_GoBack"/>
      <w:bookmarkEnd w:id="0"/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MGZhMjM0OWQ1ZmIxYWQ5N2E3MDUwMmVjMzEyZDU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B2B1664"/>
    <w:rsid w:val="1F2751AF"/>
    <w:rsid w:val="212D0EA1"/>
    <w:rsid w:val="42E42DD3"/>
    <w:rsid w:val="4B244296"/>
    <w:rsid w:val="50F61E13"/>
    <w:rsid w:val="58900E37"/>
    <w:rsid w:val="5A1924BD"/>
    <w:rsid w:val="67451CBF"/>
    <w:rsid w:val="68191D85"/>
    <w:rsid w:val="69671434"/>
    <w:rsid w:val="6CE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10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麻辣小鹿鹿</cp:lastModifiedBy>
  <cp:lastPrinted>2023-11-06T01:51:24Z</cp:lastPrinted>
  <dcterms:modified xsi:type="dcterms:W3CDTF">2023-11-06T01:52:40Z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3241E26DBB2D497E97807F0ED9DE85D0_12</vt:lpwstr>
  </property>
</Properties>
</file>