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widowControl/>
        <w:spacing w:line="600" w:lineRule="exact"/>
        <w:jc w:val="center"/>
        <w:rPr>
          <w:rFonts w:ascii="方正小标宋简体" w:hAnsi="宋体" w:eastAsia="方正小标宋简体" w:cs="宋体"/>
          <w:color w:val="000000"/>
          <w:sz w:val="44"/>
          <w:szCs w:val="44"/>
        </w:rPr>
      </w:pPr>
      <w:r>
        <w:rPr>
          <w:rFonts w:hint="eastAsia" w:ascii="方正小标宋简体" w:hAnsi="宋体" w:eastAsia="方正小标宋简体" w:cs="宋体"/>
          <w:color w:val="000000"/>
          <w:sz w:val="44"/>
          <w:szCs w:val="44"/>
        </w:rPr>
        <w:t>关于进一步加强山东省电力业务许可</w:t>
      </w:r>
    </w:p>
    <w:p>
      <w:pPr>
        <w:pStyle w:val="7"/>
        <w:widowControl/>
        <w:spacing w:line="600" w:lineRule="exact"/>
        <w:jc w:val="center"/>
        <w:rPr>
          <w:rFonts w:ascii="方正小标宋简体" w:hAnsi="宋体" w:eastAsia="方正小标宋简体" w:cs="宋体"/>
          <w:color w:val="000000"/>
          <w:sz w:val="44"/>
          <w:szCs w:val="44"/>
        </w:rPr>
      </w:pPr>
      <w:r>
        <w:rPr>
          <w:rFonts w:hint="eastAsia" w:ascii="方正小标宋简体" w:hAnsi="宋体" w:eastAsia="方正小标宋简体" w:cs="宋体"/>
          <w:color w:val="000000"/>
          <w:sz w:val="44"/>
          <w:szCs w:val="44"/>
        </w:rPr>
        <w:t>信用监管工作的通知</w:t>
      </w:r>
    </w:p>
    <w:p>
      <w:pPr>
        <w:pStyle w:val="7"/>
        <w:widowControl/>
        <w:spacing w:line="600" w:lineRule="exact"/>
        <w:jc w:val="center"/>
        <w:rPr>
          <w:rFonts w:hint="eastAsia" w:ascii="方正小标宋简体" w:hAnsi="宋体" w:eastAsia="方正小标宋简体" w:cs="宋体"/>
          <w:color w:val="000000"/>
          <w:sz w:val="44"/>
          <w:szCs w:val="44"/>
          <w:lang w:eastAsia="zh-CN"/>
        </w:rPr>
      </w:pPr>
      <w:r>
        <w:rPr>
          <w:rFonts w:hint="eastAsia" w:ascii="方正小标宋简体" w:hAnsi="宋体" w:eastAsia="方正小标宋简体" w:cs="宋体"/>
          <w:color w:val="000000"/>
          <w:sz w:val="44"/>
          <w:szCs w:val="44"/>
          <w:lang w:eastAsia="zh-CN"/>
        </w:rPr>
        <w:t>（征求意见稿）</w:t>
      </w:r>
    </w:p>
    <w:p>
      <w:pPr>
        <w:pStyle w:val="7"/>
        <w:widowControl/>
        <w:spacing w:line="600" w:lineRule="exact"/>
        <w:jc w:val="center"/>
        <w:rPr>
          <w:rFonts w:hint="eastAsia" w:ascii="方正小标宋简体" w:hAnsi="宋体" w:eastAsia="方正小标宋简体" w:cs="宋体"/>
          <w:color w:val="000000"/>
          <w:sz w:val="44"/>
          <w:szCs w:val="44"/>
          <w:lang w:eastAsia="zh-CN"/>
        </w:rPr>
      </w:pPr>
    </w:p>
    <w:p>
      <w:pPr>
        <w:pStyle w:val="7"/>
        <w:widowControl/>
        <w:spacing w:line="600" w:lineRule="exact"/>
        <w:jc w:val="both"/>
        <w:rPr>
          <w:rFonts w:ascii="仿宋_GB2312" w:hAnsi="宋体" w:eastAsia="仿宋_GB2312" w:cs="宋体"/>
          <w:color w:val="000000"/>
          <w:sz w:val="32"/>
          <w:szCs w:val="32"/>
        </w:rPr>
      </w:pPr>
      <w:r>
        <w:rPr>
          <w:rFonts w:hint="eastAsia" w:ascii="仿宋_GB2312" w:hAnsi="宋体" w:eastAsia="仿宋_GB2312" w:cs="宋体"/>
          <w:color w:val="000000"/>
          <w:sz w:val="32"/>
          <w:szCs w:val="32"/>
        </w:rPr>
        <w:t xml:space="preserve">国网山东省电力公司、华能山东发电有限公司、华电国际山东分公司、国家能源山东电力有限公司、大唐山东发电有限公司、各有关电力企业： </w:t>
      </w:r>
    </w:p>
    <w:p>
      <w:pPr>
        <w:pStyle w:val="7"/>
        <w:widowControl/>
        <w:spacing w:line="600" w:lineRule="exact"/>
        <w:ind w:firstLine="648"/>
        <w:jc w:val="both"/>
        <w:rPr>
          <w:rFonts w:ascii="仿宋_GB2312" w:hAnsi="宋体" w:eastAsia="仿宋_GB2312" w:cs="宋体"/>
          <w:color w:val="000000"/>
          <w:sz w:val="32"/>
          <w:szCs w:val="32"/>
        </w:rPr>
      </w:pPr>
      <w:r>
        <w:rPr>
          <w:rFonts w:hint="eastAsia" w:ascii="仿宋_GB2312" w:hAnsi="宋体" w:eastAsia="仿宋_GB2312" w:cs="宋体"/>
          <w:color w:val="000000"/>
          <w:sz w:val="32"/>
          <w:szCs w:val="32"/>
        </w:rPr>
        <w:t>为贯彻落实党中央、国务院“放管服”改革和国家能源局、省政府有关部署要求，深入推进能源行业信用体系建设，探索建立贯穿事前、事中、事后全过程的以信用为基础的新型监管机制，切实提升许可服务和监管水平，</w:t>
      </w:r>
      <w:r>
        <w:rPr>
          <w:rFonts w:hint="eastAsia" w:ascii="仿宋_GB2312" w:hAnsi="Times New Roman" w:eastAsia="仿宋_GB2312"/>
          <w:kern w:val="2"/>
          <w:sz w:val="32"/>
          <w:szCs w:val="32"/>
        </w:rPr>
        <w:t>维护良好市场秩序，</w:t>
      </w:r>
      <w:r>
        <w:rPr>
          <w:rFonts w:hint="eastAsia" w:ascii="仿宋_GB2312" w:hAnsi="宋体" w:eastAsia="仿宋_GB2312" w:cs="宋体"/>
          <w:color w:val="000000"/>
          <w:sz w:val="32"/>
          <w:szCs w:val="32"/>
        </w:rPr>
        <w:t>根据国家能源局《关于实施电力业务许可信用监管的通知》</w:t>
      </w:r>
      <w:bookmarkStart w:id="0" w:name="_Hlk43128299"/>
      <w:r>
        <w:rPr>
          <w:rFonts w:hint="eastAsia" w:ascii="仿宋_GB2312" w:hAnsi="宋体" w:eastAsia="仿宋_GB2312" w:cs="宋体"/>
          <w:color w:val="000000"/>
          <w:sz w:val="32"/>
          <w:szCs w:val="32"/>
        </w:rPr>
        <w:t>（</w:t>
      </w:r>
      <w:r>
        <w:rPr>
          <w:rFonts w:ascii="仿宋_GB2312" w:hAnsi="宋体" w:eastAsia="仿宋_GB2312" w:cs="宋体"/>
          <w:color w:val="000000"/>
          <w:sz w:val="32"/>
          <w:szCs w:val="32"/>
        </w:rPr>
        <w:t>国能发资质〔2019〕79号</w:t>
      </w:r>
      <w:r>
        <w:rPr>
          <w:rFonts w:hint="eastAsia" w:ascii="仿宋_GB2312" w:hAnsi="宋体" w:eastAsia="仿宋_GB2312" w:cs="宋体"/>
          <w:color w:val="000000"/>
          <w:sz w:val="32"/>
          <w:szCs w:val="32"/>
        </w:rPr>
        <w:t>）</w:t>
      </w:r>
      <w:bookmarkEnd w:id="0"/>
      <w:r>
        <w:rPr>
          <w:rFonts w:hint="eastAsia" w:ascii="仿宋_GB2312" w:hAnsi="宋体" w:eastAsia="仿宋_GB2312" w:cs="宋体"/>
          <w:color w:val="000000"/>
          <w:sz w:val="32"/>
          <w:szCs w:val="32"/>
        </w:rPr>
        <w:t>，《推广随机抽查规范事中事后监管的实施方案》（</w:t>
      </w:r>
      <w:r>
        <w:rPr>
          <w:rFonts w:ascii="仿宋_GB2312" w:hAnsi="宋体" w:eastAsia="仿宋_GB2312" w:cs="宋体"/>
          <w:color w:val="000000"/>
          <w:sz w:val="32"/>
          <w:szCs w:val="32"/>
        </w:rPr>
        <w:t>国能</w:t>
      </w:r>
      <w:r>
        <w:rPr>
          <w:rFonts w:hint="eastAsia" w:ascii="仿宋_GB2312" w:hAnsi="宋体" w:eastAsia="仿宋_GB2312" w:cs="宋体"/>
          <w:color w:val="000000"/>
          <w:sz w:val="32"/>
          <w:szCs w:val="32"/>
        </w:rPr>
        <w:t>综通法改</w:t>
      </w:r>
      <w:r>
        <w:rPr>
          <w:rFonts w:ascii="仿宋_GB2312" w:hAnsi="宋体" w:eastAsia="仿宋_GB2312" w:cs="宋体"/>
          <w:color w:val="000000"/>
          <w:sz w:val="32"/>
          <w:szCs w:val="32"/>
        </w:rPr>
        <w:t>〔20</w:t>
      </w:r>
      <w:r>
        <w:rPr>
          <w:rFonts w:hint="eastAsia" w:ascii="仿宋_GB2312" w:hAnsi="宋体" w:eastAsia="仿宋_GB2312" w:cs="宋体"/>
          <w:color w:val="000000"/>
          <w:sz w:val="32"/>
          <w:szCs w:val="32"/>
        </w:rPr>
        <w:t>20</w:t>
      </w:r>
      <w:r>
        <w:rPr>
          <w:rFonts w:ascii="仿宋_GB2312" w:hAnsi="宋体" w:eastAsia="仿宋_GB2312" w:cs="宋体"/>
          <w:color w:val="000000"/>
          <w:sz w:val="32"/>
          <w:szCs w:val="32"/>
        </w:rPr>
        <w:t>〕</w:t>
      </w:r>
      <w:r>
        <w:rPr>
          <w:rFonts w:hint="eastAsia" w:ascii="仿宋_GB2312" w:hAnsi="宋体" w:eastAsia="仿宋_GB2312" w:cs="宋体"/>
          <w:color w:val="000000"/>
          <w:sz w:val="32"/>
          <w:szCs w:val="32"/>
        </w:rPr>
        <w:t>17</w:t>
      </w:r>
      <w:r>
        <w:rPr>
          <w:rFonts w:ascii="仿宋_GB2312" w:hAnsi="宋体" w:eastAsia="仿宋_GB2312" w:cs="宋体"/>
          <w:color w:val="000000"/>
          <w:sz w:val="32"/>
          <w:szCs w:val="32"/>
        </w:rPr>
        <w:t>号）</w:t>
      </w:r>
      <w:r>
        <w:rPr>
          <w:rFonts w:hint="eastAsia" w:ascii="仿宋_GB2312" w:hAnsi="宋体" w:eastAsia="仿宋_GB2312" w:cs="宋体"/>
          <w:color w:val="000000"/>
          <w:sz w:val="32"/>
          <w:szCs w:val="32"/>
        </w:rPr>
        <w:t>等文件要求，以及《能源行业信用体系建设实施意见（2016—2020年）》（国能资质〔2016〕350号）的工作部署，现就实施电力业务许可信用监管有关事项通知如下：</w:t>
      </w:r>
    </w:p>
    <w:p>
      <w:pPr>
        <w:pStyle w:val="7"/>
        <w:widowControl/>
        <w:spacing w:line="600" w:lineRule="exact"/>
        <w:rPr>
          <w:rFonts w:ascii="黑体" w:hAnsi="黑体" w:eastAsia="黑体"/>
          <w:b/>
          <w:bCs/>
          <w:sz w:val="32"/>
          <w:szCs w:val="32"/>
        </w:rPr>
      </w:pPr>
      <w:r>
        <w:rPr>
          <w:rStyle w:val="11"/>
          <w:rFonts w:hint="eastAsia" w:ascii="黑体" w:hAnsi="黑体" w:eastAsia="黑体" w:cs="宋体"/>
          <w:b w:val="0"/>
          <w:bCs/>
          <w:color w:val="000000"/>
          <w:sz w:val="32"/>
          <w:szCs w:val="32"/>
        </w:rPr>
        <w:t>　　一、总体要求</w:t>
      </w:r>
      <w:r>
        <w:rPr>
          <w:rFonts w:hint="eastAsia" w:ascii="黑体" w:hAnsi="黑体" w:eastAsia="黑体" w:cs="宋体"/>
          <w:b/>
          <w:bCs/>
          <w:color w:val="000000"/>
          <w:sz w:val="32"/>
          <w:szCs w:val="32"/>
        </w:rPr>
        <w:t xml:space="preserve"> </w:t>
      </w:r>
    </w:p>
    <w:p>
      <w:pPr>
        <w:pStyle w:val="7"/>
        <w:widowControl/>
        <w:spacing w:line="600" w:lineRule="exact"/>
        <w:jc w:val="both"/>
        <w:rPr>
          <w:rFonts w:ascii="仿宋_GB2312" w:eastAsia="仿宋_GB2312"/>
          <w:sz w:val="32"/>
          <w:szCs w:val="32"/>
        </w:rPr>
      </w:pPr>
      <w:r>
        <w:rPr>
          <w:rFonts w:hint="eastAsia" w:ascii="仿宋_GB2312" w:hAnsi="宋体" w:eastAsia="仿宋_GB2312" w:cs="宋体"/>
          <w:color w:val="000000"/>
          <w:sz w:val="32"/>
          <w:szCs w:val="32"/>
        </w:rPr>
        <w:t xml:space="preserve">　　以电力业务许可为突破口，健全科学规范的信用等级评定与分类标准，按监管对象信用等级实施事前、事中、事后全过程分类监管，持续推进以信用为基础的新型监管机制建设，初步形成“守信者无事不扰、失信者利剑高悬”的信用监管格局，提升电力业务许可监管水平，增强监管对象诚信意识，优化公平竞争、诚实守信的市场环境。 </w:t>
      </w:r>
    </w:p>
    <w:p>
      <w:pPr>
        <w:pStyle w:val="7"/>
        <w:widowControl/>
        <w:spacing w:line="600" w:lineRule="exact"/>
        <w:rPr>
          <w:rStyle w:val="11"/>
          <w:rFonts w:ascii="黑体" w:hAnsi="黑体" w:eastAsia="黑体" w:cs="宋体"/>
          <w:bCs/>
          <w:color w:val="000000"/>
        </w:rPr>
      </w:pPr>
      <w:r>
        <w:rPr>
          <w:rStyle w:val="11"/>
          <w:rFonts w:hint="eastAsia" w:ascii="黑体" w:hAnsi="黑体" w:eastAsia="黑体" w:cs="宋体"/>
          <w:b w:val="0"/>
          <w:bCs/>
          <w:color w:val="000000"/>
          <w:sz w:val="32"/>
          <w:szCs w:val="32"/>
        </w:rPr>
        <w:t>　　二、加强信用信息归集和应用，规范分类监管措施</w:t>
      </w:r>
    </w:p>
    <w:p>
      <w:pPr>
        <w:pStyle w:val="7"/>
        <w:widowControl/>
        <w:spacing w:line="600" w:lineRule="exact"/>
        <w:jc w:val="both"/>
        <w:rPr>
          <w:rFonts w:ascii="楷体_GB2312" w:hAnsi="宋体" w:eastAsia="楷体_GB2312" w:cs="宋体"/>
          <w:color w:val="000000"/>
          <w:sz w:val="32"/>
          <w:szCs w:val="32"/>
        </w:rPr>
      </w:pPr>
      <w:r>
        <w:rPr>
          <w:rFonts w:hint="eastAsia" w:ascii="楷体_GB2312" w:hAnsi="宋体" w:eastAsia="楷体_GB2312" w:cs="宋体"/>
          <w:color w:val="000000"/>
          <w:sz w:val="32"/>
          <w:szCs w:val="32"/>
        </w:rPr>
        <w:t xml:space="preserve">　　（一）及时记录、归集、查询企业信用信息 </w:t>
      </w:r>
    </w:p>
    <w:p>
      <w:pPr>
        <w:pStyle w:val="7"/>
        <w:widowControl/>
        <w:spacing w:line="600" w:lineRule="exact"/>
        <w:ind w:firstLine="640" w:firstLineChars="200"/>
        <w:jc w:val="both"/>
        <w:rPr>
          <w:rFonts w:ascii="仿宋_GB2312" w:hAnsi="宋体" w:eastAsia="仿宋_GB2312" w:cs="宋体"/>
          <w:color w:val="000000"/>
          <w:sz w:val="32"/>
          <w:szCs w:val="32"/>
        </w:rPr>
      </w:pPr>
      <w:r>
        <w:rPr>
          <w:rFonts w:hint="eastAsia" w:ascii="仿宋_GB2312" w:hAnsi="宋体" w:eastAsia="仿宋_GB2312" w:cs="宋体"/>
          <w:color w:val="000000"/>
          <w:sz w:val="32"/>
          <w:szCs w:val="32"/>
        </w:rPr>
        <w:t>依法依规，认真履行电力业务许可事前、事中、事后监管职责，依据国家能源局</w:t>
      </w:r>
      <w:bookmarkStart w:id="1" w:name="_Hlk44921411"/>
      <w:r>
        <w:rPr>
          <w:rFonts w:hint="eastAsia" w:ascii="仿宋_GB2312" w:hAnsi="宋体" w:eastAsia="仿宋_GB2312" w:cs="宋体"/>
          <w:color w:val="000000"/>
          <w:sz w:val="32"/>
          <w:szCs w:val="32"/>
        </w:rPr>
        <w:t>《能源行业市场主体信用数据清单》</w:t>
      </w:r>
      <w:bookmarkEnd w:id="1"/>
      <w:r>
        <w:rPr>
          <w:rFonts w:hint="eastAsia" w:ascii="仿宋_GB2312" w:hAnsi="宋体" w:eastAsia="仿宋_GB2312" w:cs="宋体"/>
          <w:color w:val="000000"/>
          <w:sz w:val="32"/>
          <w:szCs w:val="32"/>
        </w:rPr>
        <w:t>（见附件1），记录并更新监管对象在电力业务许可事前、事中、事后监管环节和相关行业活动中产生的信用信息，及时归集至能源行业信用信息平台（以下简称“信用平台”）。在电力业务许可各监管环节实时查询监管对象的信用信息与信用等级，做到逢许可必查、逢检查必查、逢处罚必查。</w:t>
      </w:r>
    </w:p>
    <w:p>
      <w:pPr>
        <w:pStyle w:val="7"/>
        <w:widowControl/>
        <w:spacing w:line="600" w:lineRule="exact"/>
        <w:ind w:firstLine="640" w:firstLineChars="200"/>
        <w:jc w:val="both"/>
        <w:rPr>
          <w:rFonts w:ascii="楷体_GB2312" w:hAnsi="宋体" w:eastAsia="楷体_GB2312" w:cs="宋体"/>
          <w:color w:val="000000"/>
          <w:sz w:val="32"/>
          <w:szCs w:val="32"/>
        </w:rPr>
      </w:pPr>
      <w:r>
        <w:rPr>
          <w:rFonts w:hint="eastAsia" w:ascii="楷体_GB2312" w:hAnsi="宋体" w:eastAsia="楷体_GB2312" w:cs="宋体"/>
          <w:color w:val="000000"/>
          <w:sz w:val="32"/>
          <w:szCs w:val="32"/>
        </w:rPr>
        <w:t xml:space="preserve">（二）规范实施信用分类监管措施 </w:t>
      </w:r>
    </w:p>
    <w:p>
      <w:pPr>
        <w:pStyle w:val="7"/>
        <w:widowControl/>
        <w:spacing w:line="600" w:lineRule="exact"/>
        <w:ind w:firstLine="640" w:firstLineChars="200"/>
        <w:jc w:val="both"/>
        <w:rPr>
          <w:rFonts w:ascii="仿宋_GB2312" w:hAnsi="宋体" w:eastAsia="仿宋_GB2312" w:cs="宋体"/>
          <w:color w:val="000000"/>
          <w:sz w:val="32"/>
          <w:szCs w:val="32"/>
        </w:rPr>
      </w:pPr>
      <w:r>
        <w:rPr>
          <w:rFonts w:hint="eastAsia" w:ascii="仿宋_GB2312" w:hAnsi="宋体" w:eastAsia="仿宋_GB2312" w:cs="宋体"/>
          <w:color w:val="000000"/>
          <w:sz w:val="32"/>
          <w:szCs w:val="32"/>
        </w:rPr>
        <w:t>电力企业信用等级，以信用平台归集共享的信用信息评定结果为依据，分为信用良好、守信、失信、严重失信四个等级。在电力业务许可和监管全过程，加强对企业信用等级评定结果的应用。依据《电力业务许可信用监管应用措施清单》和《承装（修、试）电力设施许可信用监管应用措施清单》（见附件2），实施差异化监管。对“信用良好”者实施信任监管；对“守信”者实施正常监管；对“失信”者实施重点监管，采取提高抽查频率、增加真实性核查等措施，加大监管力度；对“严重失信”者实施严格监管，依法采取相关限制措施。</w:t>
      </w:r>
    </w:p>
    <w:p>
      <w:pPr>
        <w:pStyle w:val="7"/>
        <w:widowControl/>
        <w:spacing w:line="600" w:lineRule="exact"/>
        <w:ind w:firstLine="640" w:firstLineChars="200"/>
        <w:jc w:val="both"/>
        <w:rPr>
          <w:rFonts w:ascii="楷体_GB2312" w:hAnsi="宋体" w:eastAsia="楷体_GB2312" w:cs="宋体"/>
          <w:color w:val="000000"/>
          <w:sz w:val="32"/>
          <w:szCs w:val="32"/>
        </w:rPr>
      </w:pPr>
      <w:r>
        <w:rPr>
          <w:rFonts w:hint="eastAsia" w:ascii="楷体_GB2312" w:hAnsi="宋体" w:eastAsia="楷体_GB2312" w:cs="宋体"/>
          <w:color w:val="000000"/>
          <w:sz w:val="32"/>
          <w:szCs w:val="32"/>
        </w:rPr>
        <w:t xml:space="preserve">（三）分类实施“双随机、一公开”检查 </w:t>
      </w:r>
    </w:p>
    <w:p>
      <w:pPr>
        <w:pStyle w:val="7"/>
        <w:widowControl/>
        <w:spacing w:line="600" w:lineRule="exact"/>
        <w:ind w:firstLine="640" w:firstLineChars="200"/>
        <w:jc w:val="both"/>
        <w:rPr>
          <w:rFonts w:ascii="仿宋_GB2312" w:hAnsi="宋体" w:eastAsia="仿宋_GB2312" w:cs="宋体"/>
          <w:color w:val="000000"/>
          <w:sz w:val="32"/>
          <w:szCs w:val="32"/>
        </w:rPr>
      </w:pPr>
      <w:r>
        <w:rPr>
          <w:rFonts w:hint="eastAsia" w:ascii="仿宋_GB2312" w:hAnsi="宋体" w:eastAsia="仿宋_GB2312" w:cs="宋体"/>
          <w:color w:val="000000"/>
          <w:sz w:val="32"/>
          <w:szCs w:val="32"/>
        </w:rPr>
        <w:t>开展各类电力业务许可主体保持情况及执行许可事项情况检查，采取“双随机、一公开”方式，根据监管对象信用等级，设置差异化随机抽取比例。“信用良好”者，检查以非现场检查方式为主</w:t>
      </w:r>
      <w:bookmarkStart w:id="2" w:name="_Hlk43214786"/>
      <w:r>
        <w:rPr>
          <w:rFonts w:hint="eastAsia" w:ascii="仿宋_GB2312" w:hAnsi="宋体" w:eastAsia="仿宋_GB2312" w:cs="宋体"/>
          <w:color w:val="000000"/>
          <w:sz w:val="32"/>
          <w:szCs w:val="32"/>
        </w:rPr>
        <w:t>，抽查比例</w:t>
      </w:r>
      <w:bookmarkEnd w:id="2"/>
      <w:r>
        <w:rPr>
          <w:rFonts w:hint="eastAsia" w:ascii="仿宋_GB2312" w:hAnsi="宋体" w:eastAsia="仿宋_GB2312" w:cs="宋体"/>
          <w:color w:val="000000"/>
          <w:sz w:val="32"/>
          <w:szCs w:val="32"/>
        </w:rPr>
        <w:t xml:space="preserve">不高于其总数的2%；“守信”者，检查以现场检查或非现场检查方式进行，抽查比例不高于其总数的5%；“失信”者，检查以现场检查方式为主，抽查比例不低于其总数的20%；“严重失信”者，列为重点监管对象，以现场检查为主，抽查比例不低于其总数的30%。检查结果及时、准确、规范向社会公开，接受社会监督。 </w:t>
      </w:r>
    </w:p>
    <w:p>
      <w:pPr>
        <w:pStyle w:val="7"/>
        <w:widowControl/>
        <w:spacing w:line="600" w:lineRule="exact"/>
        <w:rPr>
          <w:rFonts w:ascii="仿宋_GB2312" w:hAnsi="宋体" w:eastAsia="仿宋_GB2312" w:cs="宋体"/>
          <w:color w:val="000000"/>
          <w:sz w:val="32"/>
          <w:szCs w:val="32"/>
        </w:rPr>
      </w:pPr>
      <w:r>
        <w:rPr>
          <w:rFonts w:hint="eastAsia" w:ascii="仿宋_GB2312" w:hAnsi="宋体" w:eastAsia="仿宋_GB2312" w:cs="宋体"/>
          <w:color w:val="000000"/>
          <w:sz w:val="32"/>
          <w:szCs w:val="32"/>
        </w:rPr>
        <w:t xml:space="preserve">　 </w:t>
      </w:r>
      <w:r>
        <w:rPr>
          <w:rFonts w:hint="eastAsia" w:ascii="楷体_GB2312" w:hAnsi="宋体" w:eastAsia="楷体_GB2312" w:cs="宋体"/>
          <w:color w:val="000000"/>
          <w:sz w:val="32"/>
          <w:szCs w:val="32"/>
        </w:rPr>
        <w:t xml:space="preserve">（四）根据信用风险提示加强后续监管 </w:t>
      </w:r>
    </w:p>
    <w:p>
      <w:pPr>
        <w:pStyle w:val="7"/>
        <w:spacing w:line="600" w:lineRule="exact"/>
        <w:rPr>
          <w:rFonts w:ascii="仿宋_GB2312" w:hAnsi="宋体" w:eastAsia="仿宋_GB2312" w:cs="宋体"/>
          <w:color w:val="000000"/>
          <w:sz w:val="32"/>
          <w:szCs w:val="32"/>
        </w:rPr>
      </w:pPr>
      <w:r>
        <w:rPr>
          <w:rFonts w:hint="eastAsia" w:ascii="仿宋_GB2312" w:hAnsi="宋体" w:eastAsia="仿宋_GB2312" w:cs="宋体"/>
          <w:color w:val="000000"/>
          <w:sz w:val="32"/>
          <w:szCs w:val="32"/>
        </w:rPr>
        <w:t xml:space="preserve">　　及时关注信用平台信用风险提示，对连续6个月以上信用等级为失信或严重失信的企业，或被列入失信联合惩戒对象名单（以下简称“黑名单”）的企业，或发生严重违规行为造成严重负面舆情的企业，采取有针对性的措施加强许可后续监管，督促企业依法合规经营。 </w:t>
      </w:r>
    </w:p>
    <w:p>
      <w:pPr>
        <w:pStyle w:val="7"/>
        <w:widowControl/>
        <w:spacing w:line="600" w:lineRule="exact"/>
        <w:rPr>
          <w:rFonts w:ascii="仿宋_GB2312" w:eastAsia="仿宋_GB2312"/>
          <w:sz w:val="32"/>
          <w:szCs w:val="32"/>
        </w:rPr>
      </w:pPr>
      <w:r>
        <w:rPr>
          <w:rStyle w:val="11"/>
          <w:rFonts w:hint="eastAsia" w:ascii="黑体" w:hAnsi="黑体" w:eastAsia="黑体"/>
          <w:bCs/>
        </w:rPr>
        <w:t>　　</w:t>
      </w:r>
      <w:r>
        <w:rPr>
          <w:rStyle w:val="11"/>
          <w:rFonts w:hint="eastAsia" w:ascii="黑体" w:hAnsi="黑体" w:eastAsia="黑体" w:cs="宋体"/>
          <w:b w:val="0"/>
          <w:bCs/>
          <w:color w:val="000000"/>
          <w:sz w:val="32"/>
          <w:szCs w:val="32"/>
        </w:rPr>
        <w:t xml:space="preserve"> 三、优化电力业务许可事前审批</w:t>
      </w:r>
      <w:r>
        <w:rPr>
          <w:rStyle w:val="11"/>
          <w:rFonts w:hint="eastAsia" w:ascii="黑体" w:hAnsi="黑体" w:eastAsia="黑体"/>
          <w:bCs/>
        </w:rPr>
        <w:t xml:space="preserve"> </w:t>
      </w:r>
    </w:p>
    <w:p>
      <w:pPr>
        <w:pStyle w:val="7"/>
        <w:widowControl/>
        <w:spacing w:line="600" w:lineRule="exact"/>
        <w:rPr>
          <w:rFonts w:ascii="楷体_GB2312" w:hAnsi="宋体" w:eastAsia="楷体_GB2312" w:cs="宋体"/>
          <w:color w:val="000000"/>
          <w:sz w:val="32"/>
          <w:szCs w:val="32"/>
        </w:rPr>
      </w:pPr>
      <w:r>
        <w:rPr>
          <w:rFonts w:hint="eastAsia" w:ascii="楷体_GB2312" w:hAnsi="宋体" w:eastAsia="楷体_GB2312" w:cs="宋体"/>
          <w:color w:val="000000"/>
          <w:sz w:val="32"/>
          <w:szCs w:val="32"/>
        </w:rPr>
        <w:t>　　（一）简化申请材料，提高审批效率</w:t>
      </w:r>
    </w:p>
    <w:p>
      <w:pPr>
        <w:pStyle w:val="7"/>
        <w:spacing w:line="600" w:lineRule="exact"/>
        <w:jc w:val="both"/>
        <w:rPr>
          <w:rFonts w:ascii="仿宋_GB2312" w:hAnsi="宋体" w:eastAsia="仿宋_GB2312" w:cs="宋体"/>
          <w:color w:val="000000"/>
          <w:sz w:val="32"/>
          <w:szCs w:val="32"/>
        </w:rPr>
      </w:pPr>
      <w:r>
        <w:rPr>
          <w:rFonts w:hint="eastAsia" w:ascii="仿宋_GB2312" w:hAnsi="宋体" w:eastAsia="仿宋_GB2312" w:cs="宋体"/>
          <w:color w:val="000000"/>
          <w:sz w:val="32"/>
          <w:szCs w:val="32"/>
        </w:rPr>
        <w:t>　　“信用良好”者，在许可新申请、许可延续、许可证补办等业务中简化证明材料；“守信”者，在许可证补办等业务中简化证明材料；“失信”和“严重失信”者，严格材料审查。在电力业务许可审批中探索建立容缺受理机制，对基本条件具备、主要申请材料齐全且符合法定形式先行予以受理，加快办理进度。“信用良好”和“守信”者，在许可新申请、许可变更、许可延续等业务中实行容缺受理；“失信”和“严重失信”者，原则上不实行容缺受理。“信用良好”者，在许可新申请、许可变更和许可证补办等业务中压缩办理时限；“守信”者，在许可证补办等业务中压缩办理时限；“失信”和“严重失信”者，按规定期限办理。</w:t>
      </w:r>
    </w:p>
    <w:p>
      <w:pPr>
        <w:pStyle w:val="7"/>
        <w:widowControl/>
        <w:spacing w:line="600" w:lineRule="exact"/>
        <w:rPr>
          <w:rFonts w:ascii="楷体_GB2312" w:hAnsi="宋体" w:eastAsia="楷体_GB2312" w:cs="宋体"/>
          <w:color w:val="000000"/>
          <w:sz w:val="32"/>
          <w:szCs w:val="32"/>
        </w:rPr>
      </w:pPr>
      <w:r>
        <w:rPr>
          <w:rFonts w:hint="eastAsia" w:ascii="楷体_GB2312" w:hAnsi="宋体" w:eastAsia="楷体_GB2312" w:cs="宋体"/>
          <w:color w:val="000000"/>
          <w:sz w:val="32"/>
          <w:szCs w:val="32"/>
        </w:rPr>
        <w:t xml:space="preserve">　　（二）分类开展现场核查 </w:t>
      </w:r>
    </w:p>
    <w:p>
      <w:pPr>
        <w:pStyle w:val="7"/>
        <w:widowControl/>
        <w:spacing w:line="600" w:lineRule="exact"/>
        <w:jc w:val="both"/>
        <w:rPr>
          <w:rFonts w:ascii="仿宋_GB2312" w:eastAsia="仿宋_GB2312"/>
          <w:sz w:val="32"/>
          <w:szCs w:val="32"/>
        </w:rPr>
      </w:pPr>
      <w:r>
        <w:rPr>
          <w:rFonts w:hint="eastAsia" w:ascii="仿宋_GB2312" w:hAnsi="宋体" w:eastAsia="仿宋_GB2312" w:cs="宋体"/>
          <w:color w:val="000000"/>
          <w:sz w:val="32"/>
          <w:szCs w:val="32"/>
        </w:rPr>
        <w:t xml:space="preserve">　　“信用良好”者，在许可新申请、许可变更、许可延续等业务中免于现场核查；“守信”者，除问题线索企业外，原则上不开展现场核查；“失信”和“严重失信”者，将其列为重点核查对象，必须开展现场核查，加强申请材料真实性以及证明效力等方面的核查力度。 </w:t>
      </w:r>
    </w:p>
    <w:p>
      <w:pPr>
        <w:pStyle w:val="7"/>
        <w:widowControl/>
        <w:spacing w:line="600" w:lineRule="exact"/>
        <w:rPr>
          <w:rFonts w:ascii="仿宋_GB2312" w:eastAsia="仿宋_GB2312"/>
          <w:sz w:val="32"/>
          <w:szCs w:val="32"/>
        </w:rPr>
      </w:pPr>
      <w:r>
        <w:rPr>
          <w:rFonts w:hint="eastAsia" w:ascii="仿宋_GB2312" w:hAnsi="宋体" w:eastAsia="仿宋_GB2312" w:cs="宋体"/>
          <w:color w:val="000000"/>
          <w:sz w:val="32"/>
          <w:szCs w:val="32"/>
        </w:rPr>
        <w:t>　</w:t>
      </w:r>
      <w:r>
        <w:rPr>
          <w:rStyle w:val="11"/>
          <w:rFonts w:hint="eastAsia" w:ascii="黑体" w:hAnsi="黑体" w:eastAsia="黑体" w:cs="宋体"/>
          <w:b w:val="0"/>
          <w:bCs/>
          <w:color w:val="000000"/>
          <w:sz w:val="32"/>
          <w:szCs w:val="32"/>
        </w:rPr>
        <w:t>　　四、规范实施电力业务许可事后监管</w:t>
      </w:r>
      <w:r>
        <w:rPr>
          <w:rStyle w:val="11"/>
          <w:rFonts w:hint="eastAsia" w:ascii="黑体" w:hAnsi="黑体" w:eastAsia="黑体"/>
          <w:bCs/>
        </w:rPr>
        <w:t xml:space="preserve"> </w:t>
      </w:r>
    </w:p>
    <w:p>
      <w:pPr>
        <w:pStyle w:val="7"/>
        <w:widowControl/>
        <w:spacing w:line="600" w:lineRule="exact"/>
        <w:rPr>
          <w:rFonts w:ascii="仿宋_GB2312" w:eastAsia="仿宋_GB2312"/>
          <w:sz w:val="32"/>
          <w:szCs w:val="32"/>
        </w:rPr>
      </w:pPr>
      <w:r>
        <w:rPr>
          <w:rFonts w:hint="eastAsia" w:ascii="仿宋_GB2312" w:hAnsi="宋体" w:eastAsia="仿宋_GB2312" w:cs="宋体"/>
          <w:color w:val="000000"/>
          <w:sz w:val="32"/>
          <w:szCs w:val="32"/>
        </w:rPr>
        <w:t>　　</w:t>
      </w:r>
      <w:r>
        <w:rPr>
          <w:rFonts w:hint="eastAsia" w:ascii="楷体_GB2312" w:hAnsi="宋体" w:eastAsia="楷体_GB2312" w:cs="宋体"/>
          <w:color w:val="000000"/>
          <w:sz w:val="32"/>
          <w:szCs w:val="32"/>
        </w:rPr>
        <w:t>（一）做好失信对象重点关注名单和“黑名单”管理</w:t>
      </w:r>
    </w:p>
    <w:p>
      <w:pPr>
        <w:pStyle w:val="7"/>
        <w:widowControl/>
        <w:spacing w:line="600" w:lineRule="exact"/>
        <w:ind w:firstLine="640" w:firstLineChars="200"/>
        <w:jc w:val="both"/>
        <w:rPr>
          <w:rFonts w:ascii="仿宋_GB2312" w:eastAsia="仿宋_GB2312"/>
          <w:sz w:val="32"/>
          <w:szCs w:val="32"/>
        </w:rPr>
      </w:pPr>
      <w:r>
        <w:rPr>
          <w:rFonts w:hint="eastAsia" w:ascii="仿宋_GB2312" w:hAnsi="宋体" w:eastAsia="仿宋_GB2312" w:cs="宋体"/>
          <w:color w:val="000000"/>
          <w:sz w:val="32"/>
          <w:szCs w:val="32"/>
          <w:lang w:bidi="zh-CN"/>
        </w:rPr>
        <w:t>对</w:t>
      </w:r>
      <w:r>
        <w:rPr>
          <w:rFonts w:hint="eastAsia" w:ascii="仿宋_GB2312" w:hAnsi="宋体" w:eastAsia="仿宋_GB2312" w:cs="宋体"/>
          <w:color w:val="000000"/>
          <w:sz w:val="32"/>
          <w:szCs w:val="32"/>
        </w:rPr>
        <w:t>违法违规的市场主体实施行政处罚程序后，启动失信对象重点关注名单或 “黑名单”的认定工作。根据</w:t>
      </w:r>
      <w:bookmarkStart w:id="3" w:name="_Hlk44921473"/>
      <w:r>
        <w:rPr>
          <w:rFonts w:hint="eastAsia" w:ascii="仿宋_GB2312" w:hAnsi="宋体" w:eastAsia="仿宋_GB2312" w:cs="宋体"/>
          <w:color w:val="000000"/>
          <w:sz w:val="32"/>
          <w:szCs w:val="32"/>
        </w:rPr>
        <w:t>《能源行业市场主体信用行为清单》</w:t>
      </w:r>
      <w:bookmarkEnd w:id="3"/>
      <w:r>
        <w:rPr>
          <w:rFonts w:hint="eastAsia" w:ascii="仿宋_GB2312" w:hAnsi="宋体" w:eastAsia="仿宋_GB2312" w:cs="宋体"/>
          <w:color w:val="000000"/>
          <w:sz w:val="32"/>
          <w:szCs w:val="32"/>
        </w:rPr>
        <w:t xml:space="preserve">（见附件3）,市场主体的违法违规行为属于较重失信行为的，列入重点关注名单；属于严重失信行为的，列入“黑名单”。依法依规对受到行政处罚且列入重点关注名单和“黑名单”的监管对象，按要求进行信息归集和发布，并对应其不同信用等级，分别采取失信提示、警示约谈、限期整改等监管措施。满足移出条件的，将其移出重点关注名单或“黑名单”。 </w:t>
      </w:r>
    </w:p>
    <w:p>
      <w:pPr>
        <w:pStyle w:val="7"/>
        <w:widowControl/>
        <w:spacing w:line="600" w:lineRule="exact"/>
        <w:rPr>
          <w:rFonts w:ascii="仿宋_GB2312" w:eastAsia="仿宋_GB2312"/>
          <w:sz w:val="32"/>
          <w:szCs w:val="32"/>
        </w:rPr>
      </w:pPr>
      <w:r>
        <w:rPr>
          <w:rFonts w:hint="eastAsia" w:ascii="仿宋_GB2312" w:hAnsi="宋体" w:eastAsia="仿宋_GB2312" w:cs="宋体"/>
          <w:color w:val="000000"/>
          <w:sz w:val="32"/>
          <w:szCs w:val="32"/>
        </w:rPr>
        <w:t>　</w:t>
      </w:r>
      <w:r>
        <w:rPr>
          <w:rFonts w:hint="eastAsia" w:ascii="楷体_GB2312" w:hAnsi="宋体" w:eastAsia="楷体_GB2312" w:cs="宋体"/>
          <w:color w:val="000000"/>
          <w:sz w:val="32"/>
          <w:szCs w:val="32"/>
        </w:rPr>
        <w:t xml:space="preserve">　（二）深入开展失信联合惩戒和信用修复 </w:t>
      </w:r>
    </w:p>
    <w:p>
      <w:pPr>
        <w:pStyle w:val="7"/>
        <w:widowControl/>
        <w:spacing w:line="600" w:lineRule="exact"/>
        <w:jc w:val="both"/>
        <w:rPr>
          <w:rFonts w:ascii="仿宋_GB2312" w:eastAsia="仿宋_GB2312"/>
          <w:sz w:val="32"/>
          <w:szCs w:val="32"/>
        </w:rPr>
      </w:pPr>
      <w:r>
        <w:rPr>
          <w:rFonts w:hint="eastAsia" w:ascii="仿宋_GB2312" w:hAnsi="宋体" w:eastAsia="仿宋_GB2312" w:cs="宋体"/>
          <w:color w:val="000000"/>
          <w:sz w:val="32"/>
          <w:szCs w:val="32"/>
        </w:rPr>
        <w:t>　　对被纳入“黑名单”的监管对象信用信息，通过“信用能源”网站、单位门户网站等向社会公开，按有关规定和程序推送至全国、全省信用信息共享平台，实施跨地区、跨行业、跨部门、跨领域的失信联合惩戒。引导鼓励失信主体按《能源行业市场主体信用修复管理办法（试行）》积极开展信用修复。修复完成后，“信用能源”网站等按程序及时停止公示其失信记录，相关部门终止实施联合惩戒措施。</w:t>
      </w:r>
    </w:p>
    <w:p>
      <w:pPr>
        <w:pStyle w:val="7"/>
        <w:widowControl/>
        <w:spacing w:line="600" w:lineRule="exact"/>
        <w:rPr>
          <w:rStyle w:val="11"/>
          <w:rFonts w:ascii="黑体" w:hAnsi="黑体" w:eastAsia="黑体" w:cs="宋体"/>
          <w:bCs/>
          <w:color w:val="000000"/>
          <w:sz w:val="32"/>
          <w:szCs w:val="32"/>
        </w:rPr>
      </w:pPr>
      <w:r>
        <w:rPr>
          <w:rStyle w:val="11"/>
          <w:rFonts w:hint="eastAsia" w:ascii="黑体" w:hAnsi="黑体" w:eastAsia="黑体" w:cs="宋体"/>
          <w:b w:val="0"/>
          <w:bCs/>
          <w:color w:val="000000"/>
          <w:sz w:val="32"/>
          <w:szCs w:val="32"/>
        </w:rPr>
        <w:t>　</w:t>
      </w:r>
      <w:r>
        <w:rPr>
          <w:rFonts w:hint="eastAsia" w:ascii="楷体_GB2312" w:hAnsi="宋体" w:eastAsia="楷体_GB2312"/>
        </w:rPr>
        <w:t>　</w:t>
      </w:r>
      <w:r>
        <w:rPr>
          <w:rFonts w:hint="eastAsia" w:ascii="楷体_GB2312" w:hAnsi="宋体" w:eastAsia="楷体_GB2312"/>
          <w:sz w:val="32"/>
          <w:szCs w:val="32"/>
        </w:rPr>
        <w:t>（三）推动实施协同监管</w:t>
      </w:r>
      <w:r>
        <w:rPr>
          <w:rFonts w:hint="eastAsia" w:ascii="楷体_GB2312" w:hAnsi="宋体" w:eastAsia="楷体_GB2312" w:cs="宋体"/>
          <w:b/>
          <w:color w:val="000000"/>
          <w:sz w:val="32"/>
          <w:szCs w:val="32"/>
        </w:rPr>
        <w:t xml:space="preserve"> </w:t>
      </w:r>
    </w:p>
    <w:p>
      <w:pPr>
        <w:pStyle w:val="7"/>
        <w:widowControl/>
        <w:spacing w:line="600" w:lineRule="exact"/>
        <w:jc w:val="both"/>
        <w:rPr>
          <w:rFonts w:ascii="仿宋_GB2312" w:eastAsia="仿宋_GB2312"/>
          <w:sz w:val="32"/>
          <w:szCs w:val="32"/>
        </w:rPr>
      </w:pPr>
      <w:r>
        <w:rPr>
          <w:rFonts w:hint="eastAsia" w:ascii="仿宋_GB2312" w:hAnsi="宋体" w:eastAsia="仿宋_GB2312" w:cs="宋体"/>
          <w:color w:val="000000"/>
          <w:sz w:val="32"/>
          <w:szCs w:val="32"/>
        </w:rPr>
        <w:t xml:space="preserve">　　充分利用政务信息公开、省级部门大数据共享等渠道，加强电力业务许可监管对象信用信息跨部门共享，对信用等级为失信、严重失信的监管对象联合省有关部门实施协同监管，配合相关部门依法依规对“黑名单”主体采取联合惩戒措施。充分发挥市场主体、行业组织等在电力业务许可信用监管中的作用。对信用等级为失信、严重失信的监管对象，通报相关市场主体和行业组织，强化内部约束和管理，推进电力业务许可信用监管的高效精准实施。 </w:t>
      </w:r>
    </w:p>
    <w:p>
      <w:pPr>
        <w:pStyle w:val="7"/>
        <w:widowControl/>
        <w:spacing w:line="600" w:lineRule="exact"/>
        <w:ind w:firstLine="640" w:firstLineChars="200"/>
        <w:rPr>
          <w:rFonts w:ascii="仿宋_GB2312" w:eastAsia="仿宋_GB2312"/>
          <w:sz w:val="32"/>
          <w:szCs w:val="32"/>
        </w:rPr>
      </w:pPr>
      <w:r>
        <w:rPr>
          <w:rStyle w:val="11"/>
          <w:rFonts w:hint="eastAsia" w:ascii="黑体" w:hAnsi="黑体" w:eastAsia="黑体" w:cs="宋体"/>
          <w:b w:val="0"/>
          <w:bCs/>
          <w:color w:val="000000"/>
          <w:sz w:val="32"/>
          <w:szCs w:val="32"/>
        </w:rPr>
        <w:t>五、工作要求</w:t>
      </w:r>
    </w:p>
    <w:p>
      <w:pPr>
        <w:pStyle w:val="7"/>
        <w:widowControl/>
        <w:spacing w:line="600" w:lineRule="exact"/>
        <w:jc w:val="both"/>
        <w:rPr>
          <w:rFonts w:ascii="仿宋_GB2312" w:hAnsi="宋体" w:eastAsia="仿宋_GB2312" w:cs="宋体"/>
          <w:color w:val="000000"/>
          <w:sz w:val="32"/>
          <w:szCs w:val="32"/>
        </w:rPr>
      </w:pPr>
      <w:r>
        <w:rPr>
          <w:rFonts w:hint="eastAsia" w:ascii="仿宋_GB2312" w:hAnsi="宋体" w:eastAsia="仿宋_GB2312" w:cs="宋体"/>
          <w:color w:val="000000"/>
          <w:sz w:val="32"/>
          <w:szCs w:val="32"/>
        </w:rPr>
        <w:t>　　</w:t>
      </w:r>
      <w:r>
        <w:rPr>
          <w:rFonts w:hint="eastAsia" w:ascii="楷体_GB2312" w:hAnsi="宋体" w:eastAsia="楷体_GB2312"/>
          <w:sz w:val="32"/>
          <w:szCs w:val="32"/>
        </w:rPr>
        <w:t xml:space="preserve">（一）落实监管要求 </w:t>
      </w:r>
    </w:p>
    <w:p>
      <w:pPr>
        <w:pStyle w:val="7"/>
        <w:widowControl/>
        <w:spacing w:line="600" w:lineRule="exact"/>
        <w:jc w:val="both"/>
        <w:rPr>
          <w:rFonts w:ascii="仿宋_GB2312" w:hAnsi="宋体" w:eastAsia="仿宋_GB2312" w:cs="宋体"/>
          <w:color w:val="000000"/>
          <w:sz w:val="32"/>
          <w:szCs w:val="32"/>
        </w:rPr>
      </w:pPr>
      <w:r>
        <w:rPr>
          <w:rFonts w:hint="eastAsia" w:ascii="仿宋_GB2312" w:hAnsi="宋体" w:eastAsia="仿宋_GB2312" w:cs="宋体"/>
          <w:color w:val="000000"/>
          <w:sz w:val="32"/>
          <w:szCs w:val="32"/>
        </w:rPr>
        <w:t xml:space="preserve">　　信用体系和信用信息是新型监管工作的基础。各企业要进一步增强责任意识，诚信意识，加强组织保障，细化职责分工，严格落实执行电力业务许可信用监管工作的各项要求，重视信用体系建设工作，加强信用管理，配合信用监管，依法规范经营。 </w:t>
      </w:r>
    </w:p>
    <w:p>
      <w:pPr>
        <w:pStyle w:val="7"/>
        <w:widowControl/>
        <w:spacing w:line="600" w:lineRule="exact"/>
        <w:jc w:val="both"/>
        <w:rPr>
          <w:rFonts w:ascii="楷体_GB2312" w:hAnsi="宋体" w:eastAsia="楷体_GB2312"/>
          <w:sz w:val="32"/>
          <w:szCs w:val="32"/>
        </w:rPr>
      </w:pPr>
      <w:r>
        <w:rPr>
          <w:rFonts w:hint="eastAsia" w:ascii="楷体_GB2312" w:hAnsi="宋体" w:eastAsia="楷体_GB2312"/>
          <w:sz w:val="32"/>
          <w:szCs w:val="32"/>
        </w:rPr>
        <w:t>　　（二）加强信息沟通</w:t>
      </w:r>
    </w:p>
    <w:p>
      <w:pPr>
        <w:pStyle w:val="7"/>
        <w:widowControl/>
        <w:spacing w:line="600" w:lineRule="exact"/>
        <w:jc w:val="both"/>
        <w:rPr>
          <w:rFonts w:ascii="仿宋_GB2312" w:eastAsia="仿宋_GB2312"/>
          <w:sz w:val="32"/>
          <w:szCs w:val="32"/>
        </w:rPr>
      </w:pPr>
      <w:r>
        <w:rPr>
          <w:rFonts w:hint="eastAsia" w:ascii="仿宋_GB2312" w:hAnsi="宋体" w:eastAsia="仿宋_GB2312" w:cs="宋体"/>
          <w:color w:val="000000"/>
          <w:sz w:val="32"/>
          <w:szCs w:val="32"/>
        </w:rPr>
        <w:t xml:space="preserve">　　各企业要针对信用体系建设和信用监管工作实施过程中发现的有关问题，及时向我办反馈，全面准确反映实施情况和具体效果。做好信息沟通，提出意见建议。 </w:t>
      </w:r>
    </w:p>
    <w:p>
      <w:pPr>
        <w:pStyle w:val="7"/>
        <w:widowControl/>
        <w:spacing w:line="600" w:lineRule="exact"/>
        <w:jc w:val="both"/>
        <w:rPr>
          <w:rFonts w:ascii="仿宋_GB2312" w:eastAsia="仿宋_GB2312"/>
          <w:sz w:val="32"/>
          <w:szCs w:val="32"/>
        </w:rPr>
      </w:pPr>
      <w:r>
        <w:rPr>
          <w:rFonts w:hint="eastAsia" w:ascii="仿宋_GB2312" w:hAnsi="宋体" w:eastAsia="仿宋_GB2312" w:cs="宋体"/>
          <w:color w:val="000000"/>
          <w:sz w:val="32"/>
          <w:szCs w:val="32"/>
        </w:rPr>
        <w:t>　</w:t>
      </w:r>
      <w:r>
        <w:rPr>
          <w:rFonts w:hint="eastAsia" w:ascii="楷体_GB2312" w:hAnsi="宋体" w:eastAsia="楷体_GB2312"/>
          <w:sz w:val="32"/>
          <w:szCs w:val="32"/>
        </w:rPr>
        <w:t xml:space="preserve">　（三）做好宣传培训 </w:t>
      </w:r>
    </w:p>
    <w:p>
      <w:pPr>
        <w:pStyle w:val="7"/>
        <w:widowControl/>
        <w:spacing w:line="600" w:lineRule="exact"/>
        <w:rPr>
          <w:rFonts w:ascii="仿宋_GB2312" w:eastAsia="仿宋_GB2312"/>
          <w:sz w:val="32"/>
          <w:szCs w:val="32"/>
        </w:rPr>
      </w:pPr>
      <w:r>
        <w:rPr>
          <w:rFonts w:hint="eastAsia" w:ascii="仿宋_GB2312" w:hAnsi="宋体" w:eastAsia="仿宋_GB2312" w:cs="宋体"/>
          <w:color w:val="000000"/>
          <w:sz w:val="32"/>
          <w:szCs w:val="32"/>
        </w:rPr>
        <w:t xml:space="preserve">　　各企业要通过各种渠道和形式，深入细致做好信用体系建设、电力业务许可政策宣传和培训工作，加强对办事人员的业务培训和管理，为电力业务许可信用监管的顺利实施打好基础。积极宣传信用监管工作及其成效，营造良好诚信氛围。 </w:t>
      </w:r>
    </w:p>
    <w:p>
      <w:pPr>
        <w:pStyle w:val="7"/>
        <w:widowControl/>
        <w:spacing w:line="600" w:lineRule="exact"/>
        <w:jc w:val="right"/>
        <w:rPr>
          <w:rFonts w:ascii="仿宋_GB2312" w:hAnsi="宋体" w:eastAsia="仿宋_GB2312" w:cs="宋体"/>
          <w:color w:val="000000"/>
          <w:sz w:val="32"/>
          <w:szCs w:val="32"/>
        </w:rPr>
      </w:pPr>
    </w:p>
    <w:p>
      <w:pPr>
        <w:pStyle w:val="7"/>
        <w:widowControl/>
        <w:spacing w:line="600" w:lineRule="exact"/>
        <w:ind w:firstLine="640" w:firstLineChars="200"/>
        <w:rPr>
          <w:rFonts w:ascii="仿宋_GB2312" w:hAnsi="宋体" w:eastAsia="仿宋_GB2312" w:cs="宋体"/>
          <w:color w:val="000000"/>
          <w:sz w:val="32"/>
          <w:szCs w:val="32"/>
        </w:rPr>
      </w:pPr>
      <w:r>
        <w:rPr>
          <w:rFonts w:hint="eastAsia" w:ascii="仿宋_GB2312" w:hAnsi="宋体" w:eastAsia="仿宋_GB2312" w:cs="宋体"/>
          <w:color w:val="000000"/>
          <w:sz w:val="32"/>
          <w:szCs w:val="32"/>
        </w:rPr>
        <w:t>附件1.《能源行业市场主体信用数据清单》　　</w:t>
      </w:r>
    </w:p>
    <w:p>
      <w:pPr>
        <w:pStyle w:val="7"/>
        <w:widowControl/>
        <w:spacing w:line="600" w:lineRule="exact"/>
        <w:ind w:firstLine="1280" w:firstLineChars="400"/>
        <w:rPr>
          <w:rFonts w:ascii="仿宋_GB2312" w:eastAsia="仿宋_GB2312"/>
          <w:sz w:val="32"/>
          <w:szCs w:val="32"/>
        </w:rPr>
      </w:pPr>
      <w:r>
        <w:rPr>
          <w:rFonts w:hint="eastAsia" w:ascii="仿宋_GB2312" w:hAnsi="宋体" w:eastAsia="仿宋_GB2312" w:cs="宋体"/>
          <w:color w:val="000000"/>
          <w:sz w:val="32"/>
          <w:szCs w:val="32"/>
        </w:rPr>
        <w:t>2.《能源行业市场主体信用行为清单》</w:t>
      </w:r>
    </w:p>
    <w:p>
      <w:pPr>
        <w:pStyle w:val="7"/>
        <w:widowControl/>
        <w:spacing w:line="600" w:lineRule="exact"/>
        <w:ind w:firstLine="1280" w:firstLineChars="400"/>
        <w:rPr>
          <w:rFonts w:ascii="仿宋_GB2312" w:hAnsi="宋体" w:eastAsia="仿宋_GB2312" w:cs="宋体"/>
          <w:color w:val="000000"/>
          <w:sz w:val="32"/>
          <w:szCs w:val="32"/>
        </w:rPr>
      </w:pPr>
      <w:r>
        <w:rPr>
          <w:rFonts w:hint="eastAsia" w:ascii="仿宋_GB2312" w:hAnsi="宋体" w:eastAsia="仿宋_GB2312" w:cs="宋体"/>
          <w:color w:val="000000"/>
          <w:sz w:val="32"/>
          <w:szCs w:val="32"/>
        </w:rPr>
        <w:t>3.《电力业务许可信用监管应用措施清单》</w:t>
      </w:r>
    </w:p>
    <w:p>
      <w:pPr>
        <w:pStyle w:val="7"/>
        <w:widowControl/>
        <w:spacing w:line="600" w:lineRule="exact"/>
        <w:ind w:firstLine="1280" w:firstLineChars="400"/>
        <w:rPr>
          <w:rFonts w:ascii="仿宋_GB2312" w:hAnsi="宋体" w:eastAsia="仿宋_GB2312" w:cs="宋体"/>
          <w:color w:val="000000"/>
          <w:sz w:val="32"/>
          <w:szCs w:val="32"/>
        </w:rPr>
      </w:pPr>
      <w:r>
        <w:rPr>
          <w:rFonts w:hint="eastAsia" w:ascii="仿宋_GB2312" w:hAnsi="宋体" w:eastAsia="仿宋_GB2312" w:cs="宋体"/>
          <w:color w:val="000000"/>
          <w:sz w:val="32"/>
          <w:szCs w:val="32"/>
        </w:rPr>
        <w:t>4.《承装（修、试）电力设施许可信用监管应用措施清单》</w:t>
      </w:r>
    </w:p>
    <w:p>
      <w:pPr>
        <w:pStyle w:val="7"/>
        <w:widowControl/>
        <w:spacing w:line="600" w:lineRule="exact"/>
        <w:jc w:val="right"/>
        <w:rPr>
          <w:rFonts w:ascii="仿宋_GB2312" w:hAnsi="宋体" w:eastAsia="仿宋_GB2312" w:cs="宋体"/>
          <w:color w:val="000000"/>
          <w:sz w:val="32"/>
          <w:szCs w:val="32"/>
        </w:rPr>
      </w:pPr>
    </w:p>
    <w:p>
      <w:pPr>
        <w:pStyle w:val="7"/>
        <w:widowControl/>
        <w:spacing w:line="600" w:lineRule="exact"/>
        <w:jc w:val="right"/>
        <w:rPr>
          <w:rFonts w:ascii="仿宋_GB2312" w:hAnsi="宋体" w:eastAsia="仿宋_GB2312" w:cs="宋体"/>
          <w:color w:val="000000"/>
          <w:sz w:val="32"/>
          <w:szCs w:val="32"/>
        </w:rPr>
      </w:pPr>
    </w:p>
    <w:p>
      <w:pPr>
        <w:pStyle w:val="7"/>
        <w:widowControl/>
        <w:spacing w:line="600" w:lineRule="exact"/>
        <w:jc w:val="center"/>
        <w:rPr>
          <w:rFonts w:ascii="仿宋_GB2312" w:eastAsia="仿宋_GB2312"/>
          <w:sz w:val="32"/>
          <w:szCs w:val="32"/>
        </w:rPr>
      </w:pPr>
      <w:r>
        <w:rPr>
          <w:rFonts w:hint="eastAsia" w:ascii="仿宋_GB2312" w:hAnsi="宋体" w:eastAsia="仿宋_GB2312" w:cs="宋体"/>
          <w:color w:val="000000"/>
          <w:sz w:val="32"/>
          <w:szCs w:val="32"/>
          <w:lang w:val="en-US" w:eastAsia="zh-CN"/>
        </w:rPr>
        <w:t xml:space="preserve">                         </w:t>
      </w:r>
      <w:bookmarkStart w:id="4" w:name="_GoBack"/>
      <w:bookmarkEnd w:id="4"/>
      <w:r>
        <w:rPr>
          <w:rFonts w:hint="eastAsia" w:ascii="仿宋_GB2312" w:hAnsi="宋体" w:eastAsia="仿宋_GB2312" w:cs="宋体"/>
          <w:color w:val="000000"/>
          <w:sz w:val="32"/>
          <w:szCs w:val="32"/>
        </w:rPr>
        <w:t>山东能源监管办</w:t>
      </w:r>
    </w:p>
    <w:p>
      <w:pPr>
        <w:pStyle w:val="7"/>
        <w:widowControl/>
        <w:spacing w:line="600" w:lineRule="exact"/>
        <w:ind w:right="960"/>
        <w:jc w:val="right"/>
        <w:rPr>
          <w:rFonts w:ascii="仿宋_GB2312" w:eastAsia="仿宋_GB2312"/>
          <w:sz w:val="32"/>
          <w:szCs w:val="32"/>
        </w:rPr>
      </w:pPr>
      <w:r>
        <w:rPr>
          <w:rFonts w:hint="eastAsia" w:ascii="仿宋_GB2312" w:hAnsi="宋体" w:eastAsia="仿宋_GB2312" w:cs="宋体"/>
          <w:color w:val="000000"/>
          <w:sz w:val="32"/>
          <w:szCs w:val="32"/>
        </w:rPr>
        <w:t>2020年</w:t>
      </w:r>
      <w:r>
        <w:rPr>
          <w:rFonts w:hint="eastAsia" w:ascii="仿宋_GB2312" w:hAnsi="宋体" w:eastAsia="仿宋_GB2312" w:cs="宋体"/>
          <w:color w:val="000000"/>
          <w:sz w:val="32"/>
          <w:szCs w:val="32"/>
          <w:lang w:val="en-US" w:eastAsia="zh-CN"/>
        </w:rPr>
        <w:t xml:space="preserve">  </w:t>
      </w:r>
      <w:r>
        <w:rPr>
          <w:rFonts w:hint="eastAsia" w:ascii="仿宋_GB2312" w:hAnsi="宋体" w:eastAsia="仿宋_GB2312" w:cs="宋体"/>
          <w:color w:val="000000"/>
          <w:sz w:val="32"/>
          <w:szCs w:val="32"/>
        </w:rPr>
        <w:t>月</w:t>
      </w:r>
      <w:r>
        <w:rPr>
          <w:rFonts w:hint="eastAsia" w:ascii="仿宋_GB2312" w:hAnsi="宋体" w:eastAsia="仿宋_GB2312" w:cs="宋体"/>
          <w:color w:val="000000"/>
          <w:sz w:val="32"/>
          <w:szCs w:val="32"/>
          <w:lang w:val="en-US" w:eastAsia="zh-CN"/>
        </w:rPr>
        <w:t xml:space="preserve"> </w:t>
      </w:r>
      <w:r>
        <w:rPr>
          <w:rFonts w:ascii="仿宋_GB2312" w:hAnsi="宋体" w:eastAsia="仿宋_GB2312" w:cs="宋体"/>
          <w:color w:val="000000"/>
          <w:sz w:val="32"/>
          <w:szCs w:val="32"/>
        </w:rPr>
        <w:t xml:space="preserve"> </w:t>
      </w:r>
      <w:r>
        <w:rPr>
          <w:rFonts w:hint="eastAsia" w:ascii="仿宋_GB2312" w:hAnsi="宋体" w:eastAsia="仿宋_GB2312" w:cs="宋体"/>
          <w:color w:val="000000"/>
          <w:sz w:val="32"/>
          <w:szCs w:val="32"/>
        </w:rPr>
        <w:t>日</w:t>
      </w:r>
    </w:p>
    <w:p>
      <w:pPr>
        <w:spacing w:line="60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ACE"/>
    <w:rsid w:val="00006288"/>
    <w:rsid w:val="00017392"/>
    <w:rsid w:val="000C32F1"/>
    <w:rsid w:val="000D0E08"/>
    <w:rsid w:val="000D3377"/>
    <w:rsid w:val="00113353"/>
    <w:rsid w:val="00130CC1"/>
    <w:rsid w:val="00152C84"/>
    <w:rsid w:val="00166CAC"/>
    <w:rsid w:val="001727AB"/>
    <w:rsid w:val="00186DF8"/>
    <w:rsid w:val="003160B4"/>
    <w:rsid w:val="00347E49"/>
    <w:rsid w:val="003956B7"/>
    <w:rsid w:val="003D260A"/>
    <w:rsid w:val="004041E2"/>
    <w:rsid w:val="00417353"/>
    <w:rsid w:val="00437375"/>
    <w:rsid w:val="004A5D54"/>
    <w:rsid w:val="004E6E6A"/>
    <w:rsid w:val="005625A2"/>
    <w:rsid w:val="00586A34"/>
    <w:rsid w:val="00690438"/>
    <w:rsid w:val="006D4E6F"/>
    <w:rsid w:val="007006D5"/>
    <w:rsid w:val="007419F5"/>
    <w:rsid w:val="007A3C72"/>
    <w:rsid w:val="007B10EF"/>
    <w:rsid w:val="00830E69"/>
    <w:rsid w:val="008709A4"/>
    <w:rsid w:val="00893F1F"/>
    <w:rsid w:val="008A2636"/>
    <w:rsid w:val="008F0554"/>
    <w:rsid w:val="00922DFF"/>
    <w:rsid w:val="009721E5"/>
    <w:rsid w:val="009B2979"/>
    <w:rsid w:val="009F7400"/>
    <w:rsid w:val="00A128DD"/>
    <w:rsid w:val="00A16072"/>
    <w:rsid w:val="00A3676E"/>
    <w:rsid w:val="00A822EE"/>
    <w:rsid w:val="00A95769"/>
    <w:rsid w:val="00AD7B8C"/>
    <w:rsid w:val="00AE59DB"/>
    <w:rsid w:val="00B103E6"/>
    <w:rsid w:val="00B40916"/>
    <w:rsid w:val="00B76C5D"/>
    <w:rsid w:val="00BB49A3"/>
    <w:rsid w:val="00BC5A40"/>
    <w:rsid w:val="00C12D9F"/>
    <w:rsid w:val="00C45ACE"/>
    <w:rsid w:val="00C97355"/>
    <w:rsid w:val="00CC2B6E"/>
    <w:rsid w:val="00D16C96"/>
    <w:rsid w:val="00D3162D"/>
    <w:rsid w:val="00D735A0"/>
    <w:rsid w:val="00DF2131"/>
    <w:rsid w:val="00EB6014"/>
    <w:rsid w:val="00EC0571"/>
    <w:rsid w:val="00EE200D"/>
    <w:rsid w:val="00F074FD"/>
    <w:rsid w:val="00F172F3"/>
    <w:rsid w:val="00F32E65"/>
    <w:rsid w:val="00F53D1D"/>
    <w:rsid w:val="00FB0C9D"/>
    <w:rsid w:val="00FF2AA9"/>
    <w:rsid w:val="00FF7E1A"/>
    <w:rsid w:val="13390011"/>
    <w:rsid w:val="20590098"/>
    <w:rsid w:val="216C632C"/>
    <w:rsid w:val="32434048"/>
    <w:rsid w:val="526511C3"/>
    <w:rsid w:val="6B774A95"/>
    <w:rsid w:val="6BB9089D"/>
    <w:rsid w:val="6E334E8B"/>
    <w:rsid w:val="73B9031C"/>
    <w:rsid w:val="7526733F"/>
    <w:rsid w:val="7743664B"/>
    <w:rsid w:val="7F0C0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qFormat/>
    <w:uiPriority w:val="0"/>
    <w:pPr>
      <w:jc w:val="left"/>
    </w:pPr>
  </w:style>
  <w:style w:type="paragraph" w:styleId="3">
    <w:name w:val="Body Text"/>
    <w:basedOn w:val="1"/>
    <w:qFormat/>
    <w:uiPriority w:val="0"/>
    <w:rPr>
      <w:rFonts w:ascii="Times New Roman" w:hAnsi="Times New Roman" w:cs="Times New Roman"/>
      <w:kern w:val="0"/>
      <w:sz w:val="28"/>
      <w:szCs w:val="28"/>
    </w:rPr>
  </w:style>
  <w:style w:type="paragraph" w:styleId="4">
    <w:name w:val="Balloon Text"/>
    <w:basedOn w:val="1"/>
    <w:link w:val="23"/>
    <w:qFormat/>
    <w:uiPriority w:val="0"/>
    <w:rPr>
      <w:sz w:val="18"/>
      <w:szCs w:val="18"/>
    </w:rPr>
  </w:style>
  <w:style w:type="paragraph" w:styleId="5">
    <w:name w:val="footer"/>
    <w:basedOn w:val="1"/>
    <w:link w:val="17"/>
    <w:qFormat/>
    <w:uiPriority w:val="0"/>
    <w:pPr>
      <w:tabs>
        <w:tab w:val="center" w:pos="4153"/>
        <w:tab w:val="right" w:pos="8306"/>
      </w:tabs>
      <w:snapToGrid w:val="0"/>
      <w:jc w:val="left"/>
    </w:pPr>
    <w:rPr>
      <w:sz w:val="18"/>
    </w:rPr>
  </w:style>
  <w:style w:type="paragraph" w:styleId="6">
    <w:name w:val="header"/>
    <w:basedOn w:val="1"/>
    <w:link w:val="16"/>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jc w:val="left"/>
    </w:pPr>
    <w:rPr>
      <w:rFonts w:cs="Times New Roman"/>
      <w:kern w:val="0"/>
      <w:sz w:val="24"/>
    </w:rPr>
  </w:style>
  <w:style w:type="paragraph" w:styleId="8">
    <w:name w:val="annotation subject"/>
    <w:basedOn w:val="2"/>
    <w:next w:val="2"/>
    <w:link w:val="22"/>
    <w:qFormat/>
    <w:uiPriority w:val="0"/>
    <w:rPr>
      <w:b/>
      <w:bCs/>
    </w:rPr>
  </w:style>
  <w:style w:type="character" w:styleId="11">
    <w:name w:val="Strong"/>
    <w:basedOn w:val="10"/>
    <w:qFormat/>
    <w:uiPriority w:val="0"/>
    <w:rPr>
      <w:b/>
    </w:rPr>
  </w:style>
  <w:style w:type="character" w:styleId="12">
    <w:name w:val="FollowedHyperlink"/>
    <w:basedOn w:val="10"/>
    <w:qFormat/>
    <w:uiPriority w:val="0"/>
    <w:rPr>
      <w:color w:val="37556C"/>
      <w:u w:val="none"/>
    </w:rPr>
  </w:style>
  <w:style w:type="character" w:styleId="13">
    <w:name w:val="Hyperlink"/>
    <w:basedOn w:val="10"/>
    <w:qFormat/>
    <w:uiPriority w:val="0"/>
    <w:rPr>
      <w:color w:val="37556C"/>
      <w:u w:val="none"/>
    </w:rPr>
  </w:style>
  <w:style w:type="character" w:styleId="14">
    <w:name w:val="HTML Code"/>
    <w:basedOn w:val="10"/>
    <w:qFormat/>
    <w:uiPriority w:val="0"/>
    <w:rPr>
      <w:rFonts w:ascii="Courier New" w:hAnsi="Courier New"/>
      <w:sz w:val="20"/>
    </w:rPr>
  </w:style>
  <w:style w:type="character" w:styleId="15">
    <w:name w:val="annotation reference"/>
    <w:basedOn w:val="10"/>
    <w:qFormat/>
    <w:uiPriority w:val="0"/>
    <w:rPr>
      <w:sz w:val="21"/>
      <w:szCs w:val="21"/>
    </w:rPr>
  </w:style>
  <w:style w:type="character" w:customStyle="1" w:styleId="16">
    <w:name w:val="页眉 字符"/>
    <w:basedOn w:val="10"/>
    <w:link w:val="6"/>
    <w:qFormat/>
    <w:uiPriority w:val="0"/>
  </w:style>
  <w:style w:type="character" w:customStyle="1" w:styleId="17">
    <w:name w:val="页脚 字符"/>
    <w:basedOn w:val="10"/>
    <w:link w:val="5"/>
    <w:qFormat/>
    <w:uiPriority w:val="0"/>
  </w:style>
  <w:style w:type="character" w:customStyle="1" w:styleId="18">
    <w:name w:val="data"/>
    <w:basedOn w:val="10"/>
    <w:qFormat/>
    <w:uiPriority w:val="0"/>
    <w:rPr>
      <w:rFonts w:hint="eastAsia" w:ascii="宋体" w:hAnsi="宋体" w:eastAsia="宋体" w:cs="宋体"/>
      <w:color w:val="595757"/>
      <w:sz w:val="27"/>
      <w:szCs w:val="27"/>
    </w:rPr>
  </w:style>
  <w:style w:type="character" w:customStyle="1" w:styleId="19">
    <w:name w:val="data1"/>
    <w:basedOn w:val="10"/>
    <w:qFormat/>
    <w:uiPriority w:val="0"/>
    <w:rPr>
      <w:rFonts w:hint="eastAsia" w:ascii="宋体" w:hAnsi="宋体" w:eastAsia="宋体" w:cs="宋体"/>
      <w:color w:val="595757"/>
      <w:sz w:val="22"/>
      <w:szCs w:val="22"/>
    </w:rPr>
  </w:style>
  <w:style w:type="paragraph" w:customStyle="1" w:styleId="20">
    <w:name w:val="正文缩进1"/>
    <w:basedOn w:val="1"/>
    <w:qFormat/>
    <w:uiPriority w:val="0"/>
    <w:pPr>
      <w:ind w:firstLine="420" w:firstLineChars="200"/>
    </w:pPr>
    <w:rPr>
      <w:rFonts w:ascii="Times New Roman" w:hAnsi="Times New Roman" w:eastAsia="宋体" w:cs="Times New Roman"/>
      <w:szCs w:val="20"/>
    </w:rPr>
  </w:style>
  <w:style w:type="character" w:customStyle="1" w:styleId="21">
    <w:name w:val="批注文字 字符"/>
    <w:basedOn w:val="10"/>
    <w:link w:val="2"/>
    <w:qFormat/>
    <w:uiPriority w:val="0"/>
    <w:rPr>
      <w:rFonts w:asciiTheme="minorHAnsi" w:hAnsiTheme="minorHAnsi" w:eastAsiaTheme="minorEastAsia" w:cstheme="minorBidi"/>
      <w:kern w:val="2"/>
      <w:sz w:val="21"/>
      <w:szCs w:val="24"/>
    </w:rPr>
  </w:style>
  <w:style w:type="character" w:customStyle="1" w:styleId="22">
    <w:name w:val="批注主题 字符"/>
    <w:basedOn w:val="21"/>
    <w:link w:val="8"/>
    <w:qFormat/>
    <w:uiPriority w:val="0"/>
    <w:rPr>
      <w:rFonts w:asciiTheme="minorHAnsi" w:hAnsiTheme="minorHAnsi" w:eastAsiaTheme="minorEastAsia" w:cstheme="minorBidi"/>
      <w:b/>
      <w:bCs/>
      <w:kern w:val="2"/>
      <w:sz w:val="21"/>
      <w:szCs w:val="24"/>
    </w:rPr>
  </w:style>
  <w:style w:type="character" w:customStyle="1" w:styleId="23">
    <w:name w:val="批注框文本 字符"/>
    <w:basedOn w:val="10"/>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4A2289-44D9-48EC-97D2-25CC21BBA4F2}">
  <ds:schemaRefs/>
</ds:datastoreItem>
</file>

<file path=docProps/app.xml><?xml version="1.0" encoding="utf-8"?>
<Properties xmlns="http://schemas.openxmlformats.org/officeDocument/2006/extended-properties" xmlns:vt="http://schemas.openxmlformats.org/officeDocument/2006/docPropsVTypes">
  <Template>Normal</Template>
  <Pages>6</Pages>
  <Words>455</Words>
  <Characters>2599</Characters>
  <Lines>21</Lines>
  <Paragraphs>6</Paragraphs>
  <TotalTime>721</TotalTime>
  <ScaleCrop>false</ScaleCrop>
  <LinksUpToDate>false</LinksUpToDate>
  <CharactersWithSpaces>3048</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2020-06-15T07:41:00Z</dcterms:created>
  <dc:creator>Liugx</dc:creator>
  <cp:lastModifiedBy>子岳</cp:lastModifiedBy>
  <dcterms:modified xsi:type="dcterms:W3CDTF">2020-08-25T02:05:28Z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