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592"/>
        </w:tabs>
        <w:rPr>
          <w:rFonts w:ascii="黑体" w:hAnsi="宋体" w:eastAsia="黑体"/>
          <w:sz w:val="40"/>
          <w:szCs w:val="44"/>
        </w:rPr>
      </w:pPr>
    </w:p>
    <w:p>
      <w:pPr>
        <w:tabs>
          <w:tab w:val="left" w:pos="592"/>
        </w:tabs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山东能源监管办202</w:t>
      </w:r>
      <w:r>
        <w:rPr>
          <w:rFonts w:hint="eastAsia" w:ascii="方正小标宋简体" w:hAnsi="宋体" w:eastAsia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hAnsi="宋体" w:eastAsia="方正小标宋简体"/>
          <w:sz w:val="44"/>
          <w:szCs w:val="44"/>
        </w:rPr>
        <w:t>年</w:t>
      </w:r>
      <w:r>
        <w:rPr>
          <w:rFonts w:hint="eastAsia" w:ascii="方正小标宋简体" w:hAnsi="宋体" w:eastAsia="方正小标宋简体"/>
          <w:sz w:val="44"/>
          <w:szCs w:val="44"/>
          <w:lang w:val="en-US" w:eastAsia="zh-CN"/>
        </w:rPr>
        <w:t>4月</w:t>
      </w:r>
    </w:p>
    <w:p>
      <w:pPr>
        <w:tabs>
          <w:tab w:val="left" w:pos="592"/>
        </w:tabs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12398能源监管热线处理情况通报</w:t>
      </w:r>
    </w:p>
    <w:p>
      <w:pPr>
        <w:spacing w:line="560" w:lineRule="exact"/>
        <w:ind w:firstLine="643" w:firstLineChars="200"/>
        <w:jc w:val="center"/>
        <w:rPr>
          <w:rFonts w:ascii="仿宋_GB2312" w:eastAsia="仿宋_GB2312"/>
          <w:b/>
          <w:sz w:val="32"/>
        </w:rPr>
      </w:pPr>
    </w:p>
    <w:p>
      <w:pPr>
        <w:spacing w:line="560" w:lineRule="exact"/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20</w:t>
      </w:r>
      <w:r>
        <w:rPr>
          <w:rFonts w:hint="eastAsia" w:ascii="仿宋_GB2312" w:eastAsia="仿宋_GB2312" w:cs="仿宋_GB2312"/>
          <w:sz w:val="32"/>
          <w:szCs w:val="32"/>
        </w:rPr>
        <w:t>2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 w:cs="仿宋_GB2312"/>
          <w:sz w:val="32"/>
          <w:szCs w:val="32"/>
        </w:rPr>
        <w:t>年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4月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山东</w:t>
      </w:r>
      <w:r>
        <w:rPr>
          <w:rFonts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color="auto" w:fill="FFFFFF"/>
        </w:rPr>
        <w:t>能源监管办立足监管职责，紧扣民生需求，积极畅通投诉举报渠道，认真受理和处理投诉举报事项，有效发挥了12398能源监管热线的作用。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color="auto" w:fill="FFFFFF"/>
          <w:lang w:val="en-US" w:eastAsia="zh-CN"/>
        </w:rPr>
        <w:t>现将有关</w:t>
      </w:r>
      <w:r>
        <w:rPr>
          <w:rFonts w:hint="eastAsia" w:ascii="仿宋_GB2312" w:eastAsia="仿宋_GB2312" w:cs="仿宋_GB2312"/>
          <w:sz w:val="32"/>
          <w:szCs w:val="32"/>
        </w:rPr>
        <w:t>情况通报如下：</w:t>
      </w:r>
    </w:p>
    <w:p>
      <w:pPr>
        <w:spacing w:line="560" w:lineRule="exact"/>
        <w:ind w:firstLine="640" w:firstLineChars="200"/>
        <w:rPr>
          <w:rFonts w:ascii="黑体" w:hAnsi="黑体" w:eastAsia="黑体" w:cs="黑体"/>
          <w:sz w:val="32"/>
        </w:rPr>
      </w:pPr>
      <w:r>
        <w:rPr>
          <w:rFonts w:hint="eastAsia" w:ascii="黑体" w:hAnsi="黑体" w:eastAsia="黑体" w:cs="黑体"/>
          <w:sz w:val="32"/>
        </w:rPr>
        <w:t>一、收到有效信息情况</w:t>
      </w:r>
    </w:p>
    <w:p>
      <w:pPr>
        <w:spacing w:line="560" w:lineRule="exact"/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20</w:t>
      </w:r>
      <w:r>
        <w:rPr>
          <w:rFonts w:hint="eastAsia" w:ascii="仿宋_GB2312" w:eastAsia="仿宋_GB2312" w:cs="仿宋_GB2312"/>
          <w:sz w:val="32"/>
          <w:szCs w:val="32"/>
        </w:rPr>
        <w:t>2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 w:cs="仿宋_GB2312"/>
          <w:sz w:val="32"/>
          <w:szCs w:val="32"/>
        </w:rPr>
        <w:t>年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4月</w:t>
      </w:r>
      <w:r>
        <w:rPr>
          <w:rFonts w:hint="eastAsia" w:ascii="仿宋_GB2312" w:eastAsia="仿宋_GB2312" w:cs="仿宋_GB2312"/>
          <w:sz w:val="32"/>
          <w:szCs w:val="32"/>
        </w:rPr>
        <w:t>，</w:t>
      </w:r>
      <w:r>
        <w:rPr>
          <w:rFonts w:ascii="仿宋_GB2312" w:eastAsia="仿宋_GB2312" w:cs="仿宋_GB2312"/>
          <w:sz w:val="32"/>
          <w:szCs w:val="32"/>
        </w:rPr>
        <w:t>12398</w:t>
      </w:r>
      <w:r>
        <w:rPr>
          <w:rFonts w:hint="eastAsia" w:ascii="仿宋_GB2312" w:eastAsia="仿宋_GB2312" w:cs="仿宋_GB2312"/>
          <w:sz w:val="32"/>
          <w:szCs w:val="32"/>
        </w:rPr>
        <w:t>热线共收到山东区域有效信息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1218</w:t>
      </w:r>
      <w:r>
        <w:rPr>
          <w:rFonts w:hint="eastAsia" w:ascii="仿宋_GB2312" w:eastAsia="仿宋_GB2312" w:cs="仿宋_GB2312"/>
          <w:sz w:val="32"/>
          <w:szCs w:val="32"/>
        </w:rPr>
        <w:t>件，环比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增长4.19</w:t>
      </w:r>
      <w:r>
        <w:rPr>
          <w:rFonts w:ascii="仿宋_GB2312" w:eastAsia="仿宋_GB2312" w:cs="仿宋_GB2312"/>
          <w:sz w:val="32"/>
          <w:szCs w:val="32"/>
        </w:rPr>
        <w:t>%</w:t>
      </w:r>
      <w:r>
        <w:rPr>
          <w:rFonts w:hint="eastAsia" w:ascii="仿宋_GB2312" w:eastAsia="仿宋_GB2312" w:cs="仿宋_GB2312"/>
          <w:sz w:val="32"/>
          <w:szCs w:val="32"/>
        </w:rPr>
        <w:t>，同比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增长43.29</w:t>
      </w:r>
      <w:r>
        <w:rPr>
          <w:rFonts w:hint="eastAsia" w:ascii="仿宋_GB2312" w:eastAsia="仿宋_GB2312" w:cs="仿宋_GB2312"/>
          <w:sz w:val="32"/>
          <w:szCs w:val="32"/>
        </w:rPr>
        <w:t>%。</w:t>
      </w:r>
    </w:p>
    <w:p>
      <w:pPr>
        <w:spacing w:line="560" w:lineRule="exact"/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按诉求性质分类，</w:t>
      </w:r>
      <w:r>
        <w:rPr>
          <w:rFonts w:ascii="仿宋_GB2312" w:eastAsia="仿宋_GB2312" w:cs="仿宋_GB2312"/>
          <w:sz w:val="32"/>
          <w:szCs w:val="32"/>
        </w:rPr>
        <w:t>咨询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989</w:t>
      </w:r>
      <w:r>
        <w:rPr>
          <w:rFonts w:ascii="仿宋_GB2312" w:eastAsia="仿宋_GB2312" w:cs="仿宋_GB2312"/>
          <w:sz w:val="32"/>
          <w:szCs w:val="32"/>
        </w:rPr>
        <w:t>件，占有效信息的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81.20</w:t>
      </w:r>
      <w:r>
        <w:rPr>
          <w:rFonts w:ascii="仿宋_GB2312" w:eastAsia="仿宋_GB2312" w:cs="仿宋_GB2312"/>
          <w:sz w:val="32"/>
          <w:szCs w:val="32"/>
        </w:rPr>
        <w:t>%；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求助、建议</w:t>
      </w:r>
      <w:r>
        <w:rPr>
          <w:rFonts w:hint="eastAsia" w:ascii="仿宋_GB2312" w:eastAsia="仿宋_GB2312" w:cs="仿宋_GB2312"/>
          <w:sz w:val="32"/>
          <w:szCs w:val="32"/>
        </w:rPr>
        <w:t>等其他方面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182</w:t>
      </w:r>
      <w:r>
        <w:rPr>
          <w:rFonts w:hint="eastAsia" w:ascii="仿宋_GB2312" w:eastAsia="仿宋_GB2312" w:cs="仿宋_GB2312"/>
          <w:sz w:val="32"/>
          <w:szCs w:val="32"/>
        </w:rPr>
        <w:t>件，占有效信息的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14.94</w:t>
      </w:r>
      <w:r>
        <w:rPr>
          <w:rFonts w:ascii="仿宋_GB2312" w:eastAsia="仿宋_GB2312" w:cs="仿宋_GB2312"/>
          <w:sz w:val="32"/>
          <w:szCs w:val="32"/>
        </w:rPr>
        <w:t>%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；</w:t>
      </w:r>
      <w:r>
        <w:rPr>
          <w:rFonts w:ascii="仿宋_GB2312" w:eastAsia="仿宋_GB2312" w:cs="仿宋_GB2312"/>
          <w:sz w:val="32"/>
          <w:szCs w:val="32"/>
        </w:rPr>
        <w:t>投</w:t>
      </w:r>
      <w:r>
        <w:rPr>
          <w:rFonts w:hint="eastAsia" w:ascii="仿宋_GB2312" w:eastAsia="仿宋_GB2312" w:cs="仿宋_GB2312"/>
          <w:sz w:val="32"/>
          <w:szCs w:val="32"/>
        </w:rPr>
        <w:t>诉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44</w:t>
      </w:r>
      <w:r>
        <w:rPr>
          <w:rFonts w:hint="eastAsia" w:ascii="仿宋_GB2312" w:eastAsia="仿宋_GB2312" w:cs="仿宋_GB2312"/>
          <w:sz w:val="32"/>
          <w:szCs w:val="32"/>
        </w:rPr>
        <w:t>件，占有效信息的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3.61</w:t>
      </w:r>
      <w:r>
        <w:rPr>
          <w:rFonts w:ascii="仿宋_GB2312" w:eastAsia="仿宋_GB2312" w:cs="仿宋_GB2312"/>
          <w:sz w:val="32"/>
          <w:szCs w:val="32"/>
        </w:rPr>
        <w:t>%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；举报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 w:cs="仿宋_GB2312"/>
          <w:sz w:val="32"/>
          <w:szCs w:val="32"/>
        </w:rPr>
        <w:t>件，占有效信息的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0.25</w:t>
      </w:r>
      <w:r>
        <w:rPr>
          <w:rFonts w:ascii="仿宋_GB2312" w:eastAsia="仿宋_GB2312" w:cs="仿宋_GB2312"/>
          <w:sz w:val="32"/>
          <w:szCs w:val="32"/>
        </w:rPr>
        <w:t>%</w:t>
      </w:r>
      <w:r>
        <w:rPr>
          <w:rFonts w:hint="eastAsia" w:ascii="仿宋_GB2312" w:eastAsia="仿宋_GB2312" w:cs="仿宋_GB2312"/>
          <w:sz w:val="32"/>
          <w:szCs w:val="32"/>
        </w:rPr>
        <w:t>（能源方面</w:t>
      </w:r>
      <w:r>
        <w:rPr>
          <w:rFonts w:ascii="仿宋_GB2312" w:eastAsia="仿宋_GB2312" w:cs="仿宋_GB2312"/>
          <w:sz w:val="32"/>
          <w:szCs w:val="32"/>
        </w:rPr>
        <w:t>有效信息分类图见图</w:t>
      </w:r>
      <w:r>
        <w:rPr>
          <w:rFonts w:hint="eastAsia" w:ascii="仿宋_GB2312" w:eastAsia="仿宋_GB2312" w:cs="仿宋_GB2312"/>
          <w:sz w:val="32"/>
          <w:szCs w:val="32"/>
        </w:rPr>
        <w:t>1）。</w:t>
      </w:r>
    </w:p>
    <w:p>
      <w:pPr>
        <w:pStyle w:val="5"/>
        <w:spacing w:before="0" w:beforeAutospacing="0" w:after="0" w:afterAutospacing="0" w:line="640" w:lineRule="exact"/>
        <w:jc w:val="center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图1. 能源方面有效信息分类图</w:t>
      </w:r>
    </w:p>
    <w:p>
      <w:pPr>
        <w:spacing w:line="560" w:lineRule="exact"/>
        <w:ind w:firstLine="420" w:firstLineChars="200"/>
        <w:rPr>
          <w:rFonts w:ascii="仿宋_GB2312" w:eastAsia="仿宋_GB2312" w:cs="仿宋_GB2312"/>
          <w:sz w:val="32"/>
          <w:szCs w:val="32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566420</wp:posOffset>
            </wp:positionH>
            <wp:positionV relativeFrom="paragraph">
              <wp:posOffset>19050</wp:posOffset>
            </wp:positionV>
            <wp:extent cx="4572000" cy="2743200"/>
            <wp:effectExtent l="4445" t="4445" r="14605" b="14605"/>
            <wp:wrapNone/>
            <wp:docPr id="4131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anchor>
        </w:drawing>
      </w:r>
    </w:p>
    <w:p>
      <w:pPr>
        <w:spacing w:line="560" w:lineRule="exact"/>
        <w:ind w:firstLine="640" w:firstLineChars="200"/>
        <w:rPr>
          <w:rFonts w:ascii="仿宋_GB2312" w:eastAsia="仿宋_GB2312" w:cs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eastAsia="仿宋_GB2312" w:cs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eastAsia="仿宋_GB2312" w:cs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eastAsia="仿宋_GB2312" w:cs="仿宋_GB2312"/>
          <w:sz w:val="32"/>
          <w:szCs w:val="32"/>
        </w:rPr>
      </w:pPr>
    </w:p>
    <w:p>
      <w:pPr>
        <w:spacing w:line="560" w:lineRule="exact"/>
        <w:rPr>
          <w:rFonts w:ascii="仿宋_GB2312" w:eastAsia="仿宋_GB2312" w:cs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仿宋_GB2312" w:eastAsia="仿宋_GB2312" w:cs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仿宋_GB2312" w:eastAsia="仿宋_GB2312" w:cs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按反映渠道分类，</w:t>
      </w:r>
      <w:r>
        <w:rPr>
          <w:rFonts w:ascii="仿宋_GB2312" w:eastAsia="仿宋_GB2312" w:cs="仿宋_GB2312"/>
          <w:sz w:val="32"/>
          <w:szCs w:val="32"/>
        </w:rPr>
        <w:t>12398</w:t>
      </w:r>
      <w:r>
        <w:rPr>
          <w:rFonts w:hint="eastAsia" w:ascii="仿宋_GB2312" w:eastAsia="仿宋_GB2312" w:cs="仿宋_GB2312"/>
          <w:sz w:val="32"/>
          <w:szCs w:val="32"/>
        </w:rPr>
        <w:t>电话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1156</w:t>
      </w:r>
      <w:r>
        <w:rPr>
          <w:rFonts w:hint="eastAsia" w:ascii="仿宋_GB2312" w:eastAsia="仿宋_GB2312" w:cs="仿宋_GB2312"/>
          <w:sz w:val="32"/>
          <w:szCs w:val="32"/>
        </w:rPr>
        <w:t>件，传真0件，12398邮件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13</w:t>
      </w:r>
      <w:r>
        <w:rPr>
          <w:rFonts w:hint="eastAsia" w:ascii="仿宋_GB2312" w:eastAsia="仿宋_GB2312" w:cs="仿宋_GB2312"/>
          <w:sz w:val="32"/>
          <w:szCs w:val="32"/>
        </w:rPr>
        <w:t>件，其他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49</w:t>
      </w:r>
      <w:r>
        <w:rPr>
          <w:rFonts w:hint="eastAsia" w:ascii="仿宋_GB2312" w:eastAsia="仿宋_GB2312" w:cs="仿宋_GB2312"/>
          <w:sz w:val="32"/>
          <w:szCs w:val="32"/>
        </w:rPr>
        <w:t>件（</w:t>
      </w:r>
      <w:r>
        <w:rPr>
          <w:rFonts w:ascii="仿宋_GB2312" w:eastAsia="仿宋_GB2312" w:cs="仿宋_GB2312"/>
          <w:sz w:val="32"/>
          <w:szCs w:val="32"/>
        </w:rPr>
        <w:t>20</w:t>
      </w:r>
      <w:r>
        <w:rPr>
          <w:rFonts w:hint="eastAsia" w:ascii="仿宋_GB2312" w:eastAsia="仿宋_GB2312" w:cs="仿宋_GB2312"/>
          <w:sz w:val="32"/>
          <w:szCs w:val="32"/>
        </w:rPr>
        <w:t>2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 w:cs="仿宋_GB2312"/>
          <w:sz w:val="32"/>
          <w:szCs w:val="32"/>
        </w:rPr>
        <w:t>年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4月</w:t>
      </w:r>
      <w:r>
        <w:rPr>
          <w:rFonts w:hint="eastAsia" w:ascii="仿宋_GB2312" w:eastAsia="仿宋_GB2312" w:cs="仿宋_GB2312"/>
          <w:sz w:val="32"/>
          <w:szCs w:val="32"/>
        </w:rPr>
        <w:t>收到有效信息情况见表1）。</w:t>
      </w:r>
    </w:p>
    <w:p>
      <w:pPr>
        <w:spacing w:line="560" w:lineRule="exact"/>
        <w:ind w:firstLine="640" w:firstLineChars="200"/>
        <w:rPr>
          <w:rFonts w:hint="eastAsia" w:ascii="仿宋_GB2312" w:eastAsia="仿宋_GB2312" w:cs="仿宋_GB2312"/>
          <w:sz w:val="32"/>
          <w:szCs w:val="32"/>
        </w:rPr>
      </w:pPr>
    </w:p>
    <w:p>
      <w:pPr>
        <w:widowControl/>
        <w:snapToGrid w:val="0"/>
        <w:spacing w:line="360" w:lineRule="auto"/>
        <w:jc w:val="center"/>
        <w:rPr>
          <w:rFonts w:ascii="仿宋" w:hAnsi="仿宋" w:eastAsia="仿宋" w:cs="宋体"/>
          <w:b/>
          <w:kern w:val="0"/>
          <w:sz w:val="30"/>
          <w:szCs w:val="30"/>
        </w:rPr>
      </w:pPr>
      <w:r>
        <w:rPr>
          <w:rFonts w:hint="eastAsia" w:ascii="仿宋" w:hAnsi="仿宋" w:eastAsia="仿宋" w:cs="宋体"/>
          <w:b/>
          <w:kern w:val="0"/>
          <w:sz w:val="30"/>
          <w:szCs w:val="30"/>
        </w:rPr>
        <w:t xml:space="preserve">表1. </w:t>
      </w:r>
      <w:r>
        <w:rPr>
          <w:rFonts w:hint="eastAsia" w:ascii="仿宋" w:hAnsi="仿宋" w:eastAsia="仿宋"/>
          <w:b/>
          <w:sz w:val="30"/>
          <w:szCs w:val="30"/>
        </w:rPr>
        <w:t>202</w:t>
      </w:r>
      <w:r>
        <w:rPr>
          <w:rFonts w:hint="eastAsia" w:ascii="仿宋" w:hAnsi="仿宋" w:eastAsia="仿宋"/>
          <w:b/>
          <w:sz w:val="30"/>
          <w:szCs w:val="30"/>
          <w:lang w:val="en-US" w:eastAsia="zh-CN"/>
        </w:rPr>
        <w:t>4</w:t>
      </w:r>
      <w:r>
        <w:rPr>
          <w:rFonts w:hint="eastAsia" w:ascii="仿宋" w:hAnsi="仿宋" w:eastAsia="仿宋"/>
          <w:b/>
          <w:sz w:val="30"/>
          <w:szCs w:val="30"/>
        </w:rPr>
        <w:t>年</w:t>
      </w:r>
      <w:r>
        <w:rPr>
          <w:rFonts w:hint="eastAsia" w:ascii="仿宋" w:hAnsi="仿宋" w:eastAsia="仿宋"/>
          <w:b/>
          <w:sz w:val="30"/>
          <w:szCs w:val="30"/>
          <w:lang w:val="en-US" w:eastAsia="zh-CN"/>
        </w:rPr>
        <w:t>4月</w:t>
      </w:r>
      <w:r>
        <w:rPr>
          <w:rFonts w:hint="eastAsia" w:ascii="仿宋" w:hAnsi="仿宋" w:eastAsia="仿宋" w:cs="宋体"/>
          <w:b/>
          <w:kern w:val="0"/>
          <w:sz w:val="30"/>
          <w:szCs w:val="30"/>
        </w:rPr>
        <w:t>收到有效信息情况</w:t>
      </w:r>
    </w:p>
    <w:p>
      <w:pPr>
        <w:widowControl/>
        <w:snapToGrid w:val="0"/>
        <w:spacing w:before="120" w:beforeLines="50" w:after="120" w:afterLines="50" w:line="280" w:lineRule="exact"/>
        <w:ind w:right="125"/>
        <w:jc w:val="right"/>
        <w:rPr>
          <w:rFonts w:ascii="宋体" w:hAnsi="宋体" w:cs="宋体"/>
          <w:kern w:val="0"/>
          <w:sz w:val="24"/>
          <w:szCs w:val="28"/>
        </w:rPr>
      </w:pPr>
      <w:r>
        <w:rPr>
          <w:rFonts w:hint="eastAsia" w:ascii="宋体" w:hAnsi="宋体" w:cs="宋体"/>
          <w:kern w:val="0"/>
          <w:sz w:val="24"/>
          <w:szCs w:val="28"/>
        </w:rPr>
        <w:t>单位：件</w:t>
      </w:r>
    </w:p>
    <w:tbl>
      <w:tblPr>
        <w:tblStyle w:val="6"/>
        <w:tblW w:w="8628" w:type="dxa"/>
        <w:jc w:val="center"/>
        <w:tblBorders>
          <w:top w:val="thinThickSmallGap" w:color="000000" w:sz="12" w:space="0"/>
          <w:left w:val="thinThickSmallGap" w:color="000000" w:sz="12" w:space="0"/>
          <w:bottom w:val="thickThinSmallGap" w:color="000000" w:sz="12" w:space="0"/>
          <w:right w:val="thinThickSmallGap" w:color="000000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3"/>
        <w:gridCol w:w="1239"/>
        <w:gridCol w:w="1239"/>
        <w:gridCol w:w="1239"/>
        <w:gridCol w:w="1239"/>
        <w:gridCol w:w="1239"/>
      </w:tblGrid>
      <w:tr>
        <w:tblPrEx>
          <w:tblBorders>
            <w:top w:val="thinThickSmallGap" w:color="000000" w:sz="12" w:space="0"/>
            <w:left w:val="thinThickSmallGap" w:color="000000" w:sz="12" w:space="0"/>
            <w:bottom w:val="thickThinSmallGap" w:color="000000" w:sz="12" w:space="0"/>
            <w:right w:val="thinThickSmallGap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2433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反映渠道</w:t>
            </w:r>
          </w:p>
        </w:tc>
        <w:tc>
          <w:tcPr>
            <w:tcW w:w="123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投诉</w:t>
            </w:r>
          </w:p>
        </w:tc>
        <w:tc>
          <w:tcPr>
            <w:tcW w:w="123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举报</w:t>
            </w:r>
          </w:p>
        </w:tc>
        <w:tc>
          <w:tcPr>
            <w:tcW w:w="123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咨询</w:t>
            </w:r>
          </w:p>
        </w:tc>
        <w:tc>
          <w:tcPr>
            <w:tcW w:w="123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其他</w:t>
            </w:r>
          </w:p>
        </w:tc>
        <w:tc>
          <w:tcPr>
            <w:tcW w:w="123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小计</w:t>
            </w:r>
          </w:p>
        </w:tc>
      </w:tr>
      <w:tr>
        <w:tblPrEx>
          <w:tblBorders>
            <w:top w:val="thinThickSmallGap" w:color="000000" w:sz="12" w:space="0"/>
            <w:left w:val="thinThickSmallGap" w:color="000000" w:sz="12" w:space="0"/>
            <w:bottom w:val="thickThinSmallGap" w:color="000000" w:sz="12" w:space="0"/>
            <w:right w:val="thinThickSmallGap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2433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12398电话</w:t>
            </w:r>
          </w:p>
        </w:tc>
        <w:tc>
          <w:tcPr>
            <w:tcW w:w="123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39</w:t>
            </w:r>
          </w:p>
        </w:tc>
        <w:tc>
          <w:tcPr>
            <w:tcW w:w="123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123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954</w:t>
            </w:r>
          </w:p>
        </w:tc>
        <w:tc>
          <w:tcPr>
            <w:tcW w:w="123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162</w:t>
            </w:r>
          </w:p>
        </w:tc>
        <w:tc>
          <w:tcPr>
            <w:tcW w:w="123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1156</w:t>
            </w:r>
          </w:p>
        </w:tc>
      </w:tr>
      <w:tr>
        <w:tblPrEx>
          <w:tblBorders>
            <w:top w:val="thinThickSmallGap" w:color="000000" w:sz="12" w:space="0"/>
            <w:left w:val="thinThickSmallGap" w:color="000000" w:sz="12" w:space="0"/>
            <w:bottom w:val="thickThinSmallGap" w:color="000000" w:sz="12" w:space="0"/>
            <w:right w:val="thinThickSmallGap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2433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传    真</w:t>
            </w:r>
          </w:p>
        </w:tc>
        <w:tc>
          <w:tcPr>
            <w:tcW w:w="123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123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123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123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123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thinThickSmallGap" w:color="000000" w:sz="12" w:space="0"/>
            <w:left w:val="thinThickSmallGap" w:color="000000" w:sz="12" w:space="0"/>
            <w:bottom w:val="thickThinSmallGap" w:color="000000" w:sz="12" w:space="0"/>
            <w:right w:val="thinThickSmallGap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2433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12398邮件</w:t>
            </w:r>
          </w:p>
        </w:tc>
        <w:tc>
          <w:tcPr>
            <w:tcW w:w="123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123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123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123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6</w:t>
            </w:r>
          </w:p>
        </w:tc>
        <w:tc>
          <w:tcPr>
            <w:tcW w:w="123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13</w:t>
            </w:r>
          </w:p>
        </w:tc>
      </w:tr>
      <w:tr>
        <w:tblPrEx>
          <w:tblBorders>
            <w:top w:val="thinThickSmallGap" w:color="000000" w:sz="12" w:space="0"/>
            <w:left w:val="thinThickSmallGap" w:color="000000" w:sz="12" w:space="0"/>
            <w:bottom w:val="thickThinSmallGap" w:color="000000" w:sz="12" w:space="0"/>
            <w:right w:val="thinThickSmallGap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2433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其    他</w:t>
            </w:r>
          </w:p>
        </w:tc>
        <w:tc>
          <w:tcPr>
            <w:tcW w:w="123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123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123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30</w:t>
            </w:r>
          </w:p>
        </w:tc>
        <w:tc>
          <w:tcPr>
            <w:tcW w:w="123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14</w:t>
            </w:r>
          </w:p>
        </w:tc>
        <w:tc>
          <w:tcPr>
            <w:tcW w:w="123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49</w:t>
            </w:r>
          </w:p>
        </w:tc>
      </w:tr>
      <w:tr>
        <w:tblPrEx>
          <w:tblBorders>
            <w:top w:val="thinThickSmallGap" w:color="000000" w:sz="12" w:space="0"/>
            <w:left w:val="thinThickSmallGap" w:color="000000" w:sz="12" w:space="0"/>
            <w:bottom w:val="thickThinSmallGap" w:color="000000" w:sz="12" w:space="0"/>
            <w:right w:val="thinThickSmallGap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2433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合    计</w:t>
            </w:r>
          </w:p>
        </w:tc>
        <w:tc>
          <w:tcPr>
            <w:tcW w:w="123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44</w:t>
            </w:r>
          </w:p>
        </w:tc>
        <w:tc>
          <w:tcPr>
            <w:tcW w:w="123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123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989</w:t>
            </w:r>
          </w:p>
        </w:tc>
        <w:tc>
          <w:tcPr>
            <w:tcW w:w="123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182</w:t>
            </w:r>
          </w:p>
        </w:tc>
        <w:tc>
          <w:tcPr>
            <w:tcW w:w="123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1218</w:t>
            </w:r>
          </w:p>
        </w:tc>
      </w:tr>
    </w:tbl>
    <w:p>
      <w:pPr>
        <w:spacing w:line="560" w:lineRule="exact"/>
        <w:rPr>
          <w:rFonts w:ascii="黑体" w:hAnsi="黑体" w:eastAsia="黑体" w:cs="黑体"/>
          <w:sz w:val="32"/>
        </w:rPr>
      </w:pPr>
    </w:p>
    <w:p>
      <w:pPr>
        <w:spacing w:line="560" w:lineRule="exact"/>
        <w:ind w:firstLine="640" w:firstLineChars="200"/>
        <w:rPr>
          <w:rFonts w:ascii="黑体" w:hAnsi="黑体" w:eastAsia="黑体" w:cs="黑体"/>
          <w:sz w:val="32"/>
        </w:rPr>
      </w:pPr>
      <w:r>
        <w:rPr>
          <w:rFonts w:hint="eastAsia" w:ascii="黑体" w:hAnsi="黑体" w:eastAsia="黑体" w:cs="黑体"/>
          <w:sz w:val="32"/>
        </w:rPr>
        <w:t>二、分类情况</w:t>
      </w:r>
    </w:p>
    <w:p>
      <w:pPr>
        <w:spacing w:line="560" w:lineRule="exact"/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20</w:t>
      </w:r>
      <w:r>
        <w:rPr>
          <w:rFonts w:hint="eastAsia" w:ascii="仿宋_GB2312" w:eastAsia="仿宋_GB2312" w:cs="仿宋_GB2312"/>
          <w:sz w:val="32"/>
          <w:szCs w:val="32"/>
        </w:rPr>
        <w:t>2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 w:cs="仿宋_GB2312"/>
          <w:sz w:val="32"/>
          <w:szCs w:val="32"/>
        </w:rPr>
        <w:t>年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4月</w:t>
      </w:r>
      <w:r>
        <w:rPr>
          <w:rFonts w:hint="eastAsia" w:ascii="仿宋_GB2312" w:eastAsia="仿宋_GB2312" w:cs="仿宋_GB2312"/>
          <w:sz w:val="32"/>
          <w:szCs w:val="32"/>
        </w:rPr>
        <w:t>收到的有效信息中，电力行业类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783</w:t>
      </w:r>
      <w:r>
        <w:rPr>
          <w:rFonts w:hint="eastAsia" w:ascii="仿宋_GB2312" w:eastAsia="仿宋_GB2312" w:cs="仿宋_GB2312"/>
          <w:sz w:val="32"/>
          <w:szCs w:val="32"/>
        </w:rPr>
        <w:t>件，占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65.58</w:t>
      </w:r>
      <w:r>
        <w:rPr>
          <w:rFonts w:ascii="仿宋_GB2312" w:eastAsia="仿宋_GB2312" w:cs="仿宋_GB2312"/>
          <w:sz w:val="32"/>
          <w:szCs w:val="32"/>
        </w:rPr>
        <w:t>%</w:t>
      </w:r>
      <w:r>
        <w:rPr>
          <w:rFonts w:hint="eastAsia" w:ascii="仿宋_GB2312" w:eastAsia="仿宋_GB2312" w:cs="仿宋_GB2312"/>
          <w:sz w:val="32"/>
          <w:szCs w:val="32"/>
        </w:rPr>
        <w:t>；新能源和可再生能源行业类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270</w:t>
      </w:r>
      <w:r>
        <w:rPr>
          <w:rFonts w:hint="eastAsia" w:ascii="仿宋_GB2312" w:eastAsia="仿宋_GB2312" w:cs="仿宋_GB2312"/>
          <w:sz w:val="32"/>
          <w:szCs w:val="32"/>
        </w:rPr>
        <w:t>件，占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22.61</w:t>
      </w:r>
      <w:r>
        <w:rPr>
          <w:rFonts w:ascii="仿宋_GB2312" w:eastAsia="仿宋_GB2312" w:cs="仿宋_GB2312"/>
          <w:sz w:val="32"/>
          <w:szCs w:val="32"/>
        </w:rPr>
        <w:t>%</w:t>
      </w:r>
      <w:r>
        <w:rPr>
          <w:rFonts w:hint="eastAsia" w:ascii="仿宋_GB2312" w:eastAsia="仿宋_GB2312" w:cs="仿宋_GB2312"/>
          <w:sz w:val="32"/>
          <w:szCs w:val="32"/>
        </w:rPr>
        <w:t>；石油天然气行业类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77</w:t>
      </w:r>
      <w:r>
        <w:rPr>
          <w:rFonts w:hint="eastAsia" w:ascii="仿宋_GB2312" w:eastAsia="仿宋_GB2312" w:cs="仿宋_GB2312"/>
          <w:sz w:val="32"/>
          <w:szCs w:val="32"/>
        </w:rPr>
        <w:t>件，占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6.45</w:t>
      </w:r>
      <w:r>
        <w:rPr>
          <w:rFonts w:ascii="仿宋_GB2312" w:eastAsia="仿宋_GB2312" w:cs="仿宋_GB2312"/>
          <w:sz w:val="32"/>
          <w:szCs w:val="32"/>
        </w:rPr>
        <w:t>%</w:t>
      </w:r>
      <w:r>
        <w:rPr>
          <w:rFonts w:hint="eastAsia" w:ascii="仿宋_GB2312" w:eastAsia="仿宋_GB2312" w:cs="仿宋_GB2312"/>
          <w:sz w:val="32"/>
          <w:szCs w:val="32"/>
        </w:rPr>
        <w:t>；其他事项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61</w:t>
      </w:r>
      <w:r>
        <w:rPr>
          <w:rFonts w:hint="eastAsia" w:ascii="仿宋_GB2312" w:eastAsia="仿宋_GB2312" w:cs="仿宋_GB2312"/>
          <w:sz w:val="32"/>
          <w:szCs w:val="32"/>
        </w:rPr>
        <w:t>件，占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5.11</w:t>
      </w:r>
      <w:r>
        <w:rPr>
          <w:rFonts w:ascii="仿宋_GB2312" w:eastAsia="仿宋_GB2312" w:cs="仿宋_GB2312"/>
          <w:sz w:val="32"/>
          <w:szCs w:val="32"/>
        </w:rPr>
        <w:t>%</w:t>
      </w:r>
      <w:r>
        <w:rPr>
          <w:rFonts w:hint="eastAsia" w:ascii="仿宋_GB2312" w:eastAsia="仿宋_GB2312" w:cs="仿宋_GB2312"/>
          <w:sz w:val="32"/>
          <w:szCs w:val="32"/>
        </w:rPr>
        <w:t>；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煤炭行业类3件，</w:t>
      </w:r>
      <w:r>
        <w:rPr>
          <w:rFonts w:hint="eastAsia" w:ascii="仿宋_GB2312" w:eastAsia="仿宋_GB2312" w:cs="仿宋_GB2312"/>
          <w:sz w:val="32"/>
          <w:szCs w:val="32"/>
        </w:rPr>
        <w:t>占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0.25</w:t>
      </w:r>
      <w:r>
        <w:rPr>
          <w:rFonts w:ascii="仿宋_GB2312" w:eastAsia="仿宋_GB2312" w:cs="仿宋_GB2312"/>
          <w:sz w:val="32"/>
          <w:szCs w:val="32"/>
        </w:rPr>
        <w:t>%</w:t>
      </w:r>
      <w:r>
        <w:rPr>
          <w:rFonts w:hint="eastAsia" w:asci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hint="eastAsia"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投诉举报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31</w:t>
      </w:r>
      <w:r>
        <w:rPr>
          <w:rFonts w:ascii="仿宋_GB2312" w:eastAsia="仿宋_GB2312" w:cs="仿宋_GB2312"/>
          <w:sz w:val="32"/>
          <w:szCs w:val="32"/>
        </w:rPr>
        <w:t>件。</w:t>
      </w:r>
      <w:r>
        <w:rPr>
          <w:rFonts w:hint="eastAsia" w:ascii="仿宋_GB2312" w:eastAsia="仿宋_GB2312" w:cs="仿宋_GB2312"/>
          <w:sz w:val="32"/>
          <w:szCs w:val="32"/>
        </w:rPr>
        <w:t>其中，</w:t>
      </w:r>
      <w:r>
        <w:rPr>
          <w:rFonts w:ascii="仿宋_GB2312" w:eastAsia="仿宋_GB2312" w:cs="仿宋_GB2312"/>
          <w:color w:val="auto"/>
          <w:sz w:val="32"/>
          <w:szCs w:val="32"/>
        </w:rPr>
        <w:t>供电服务方面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26</w:t>
      </w:r>
      <w:r>
        <w:rPr>
          <w:rFonts w:ascii="仿宋_GB2312" w:eastAsia="仿宋_GB2312" w:cs="仿宋_GB2312"/>
          <w:color w:val="auto"/>
          <w:sz w:val="32"/>
          <w:szCs w:val="32"/>
        </w:rPr>
        <w:t>件，占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59.09</w:t>
      </w:r>
      <w:r>
        <w:rPr>
          <w:rFonts w:ascii="仿宋_GB2312" w:eastAsia="仿宋_GB2312" w:cs="仿宋_GB2312"/>
          <w:color w:val="auto"/>
          <w:sz w:val="32"/>
          <w:szCs w:val="32"/>
        </w:rPr>
        <w:t>%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；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电力安全方面3件，占6.82%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；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市场准入方面2件，占4.55%</w:t>
      </w:r>
      <w:r>
        <w:rPr>
          <w:rFonts w:hint="eastAsia" w:ascii="仿宋_GB2312" w:eastAsia="仿宋_GB2312" w:cs="仿宋_GB2312"/>
          <w:sz w:val="32"/>
          <w:szCs w:val="32"/>
        </w:rPr>
        <w:t>（</w:t>
      </w:r>
      <w:r>
        <w:rPr>
          <w:rFonts w:ascii="仿宋_GB2312" w:eastAsia="仿宋_GB2312" w:cs="仿宋_GB2312"/>
          <w:sz w:val="32"/>
          <w:szCs w:val="32"/>
        </w:rPr>
        <w:t>20</w:t>
      </w:r>
      <w:r>
        <w:rPr>
          <w:rFonts w:hint="eastAsia" w:ascii="仿宋_GB2312" w:eastAsia="仿宋_GB2312" w:cs="仿宋_GB2312"/>
          <w:sz w:val="32"/>
          <w:szCs w:val="32"/>
        </w:rPr>
        <w:t>2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 w:cs="仿宋_GB2312"/>
          <w:sz w:val="32"/>
          <w:szCs w:val="32"/>
        </w:rPr>
        <w:t>年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4月</w:t>
      </w:r>
      <w:r>
        <w:rPr>
          <w:rFonts w:ascii="仿宋_GB2312" w:eastAsia="仿宋_GB2312" w:cs="仿宋_GB2312"/>
          <w:sz w:val="32"/>
          <w:szCs w:val="32"/>
        </w:rPr>
        <w:t>电力行业</w:t>
      </w:r>
      <w:r>
        <w:rPr>
          <w:rFonts w:hint="eastAsia" w:ascii="仿宋_GB2312" w:eastAsia="仿宋_GB2312" w:cs="仿宋_GB2312"/>
          <w:sz w:val="32"/>
          <w:szCs w:val="32"/>
        </w:rPr>
        <w:t>有效信息按业务分类情况见表2）。</w:t>
      </w:r>
    </w:p>
    <w:p>
      <w:pPr>
        <w:spacing w:line="560" w:lineRule="exact"/>
        <w:ind w:firstLine="602" w:firstLineChars="200"/>
        <w:jc w:val="center"/>
        <w:rPr>
          <w:rFonts w:ascii="仿宋" w:hAnsi="仿宋" w:eastAsia="仿宋" w:cs="宋体"/>
          <w:b/>
          <w:kern w:val="0"/>
          <w:sz w:val="30"/>
          <w:szCs w:val="30"/>
        </w:rPr>
      </w:pPr>
      <w:r>
        <w:rPr>
          <w:rFonts w:hint="eastAsia" w:ascii="仿宋" w:hAnsi="仿宋" w:eastAsia="仿宋" w:cs="宋体"/>
          <w:b/>
          <w:kern w:val="0"/>
          <w:sz w:val="30"/>
          <w:szCs w:val="30"/>
        </w:rPr>
        <w:t xml:space="preserve">表2. </w:t>
      </w:r>
      <w:r>
        <w:rPr>
          <w:rFonts w:hint="eastAsia" w:ascii="仿宋" w:hAnsi="仿宋" w:eastAsia="仿宋"/>
          <w:b/>
          <w:sz w:val="30"/>
          <w:szCs w:val="30"/>
        </w:rPr>
        <w:t>202</w:t>
      </w:r>
      <w:r>
        <w:rPr>
          <w:rFonts w:hint="eastAsia" w:ascii="仿宋" w:hAnsi="仿宋" w:eastAsia="仿宋"/>
          <w:b/>
          <w:sz w:val="30"/>
          <w:szCs w:val="30"/>
          <w:lang w:val="en-US" w:eastAsia="zh-CN"/>
        </w:rPr>
        <w:t>4</w:t>
      </w:r>
      <w:r>
        <w:rPr>
          <w:rFonts w:hint="eastAsia" w:ascii="仿宋" w:hAnsi="仿宋" w:eastAsia="仿宋"/>
          <w:b/>
          <w:sz w:val="30"/>
          <w:szCs w:val="30"/>
        </w:rPr>
        <w:t>年</w:t>
      </w:r>
      <w:r>
        <w:rPr>
          <w:rFonts w:hint="eastAsia" w:ascii="仿宋" w:hAnsi="仿宋" w:eastAsia="仿宋"/>
          <w:b/>
          <w:sz w:val="30"/>
          <w:szCs w:val="30"/>
          <w:lang w:val="en-US" w:eastAsia="zh-CN"/>
        </w:rPr>
        <w:t>4月</w:t>
      </w:r>
      <w:r>
        <w:rPr>
          <w:rFonts w:hint="eastAsia" w:ascii="仿宋" w:hAnsi="仿宋" w:eastAsia="仿宋"/>
          <w:b/>
          <w:sz w:val="30"/>
          <w:szCs w:val="30"/>
        </w:rPr>
        <w:t>电力行业</w:t>
      </w:r>
      <w:r>
        <w:rPr>
          <w:rFonts w:hint="eastAsia" w:ascii="仿宋" w:hAnsi="仿宋" w:eastAsia="仿宋" w:cs="宋体"/>
          <w:b/>
          <w:kern w:val="0"/>
          <w:sz w:val="30"/>
          <w:szCs w:val="30"/>
        </w:rPr>
        <w:t>有效信息按业务分类情况</w:t>
      </w:r>
    </w:p>
    <w:p>
      <w:pPr>
        <w:widowControl/>
        <w:snapToGrid w:val="0"/>
        <w:jc w:val="right"/>
        <w:rPr>
          <w:rFonts w:ascii="宋体" w:hAnsi="宋体" w:cs="宋体"/>
          <w:b/>
          <w:kern w:val="0"/>
          <w:sz w:val="30"/>
          <w:szCs w:val="32"/>
        </w:rPr>
      </w:pPr>
      <w:r>
        <w:rPr>
          <w:rFonts w:hint="eastAsia" w:ascii="宋体" w:hAnsi="宋体" w:cs="宋体"/>
          <w:kern w:val="0"/>
          <w:sz w:val="24"/>
          <w:szCs w:val="28"/>
        </w:rPr>
        <w:t>单位：件</w:t>
      </w:r>
    </w:p>
    <w:tbl>
      <w:tblPr>
        <w:tblStyle w:val="6"/>
        <w:tblW w:w="8948" w:type="dxa"/>
        <w:jc w:val="center"/>
        <w:tblBorders>
          <w:top w:val="thinThickSmallGap" w:color="auto" w:sz="12" w:space="0"/>
          <w:left w:val="thinThickSmallGap" w:color="auto" w:sz="12" w:space="0"/>
          <w:bottom w:val="thinThickSmallGap" w:color="auto" w:sz="12" w:space="0"/>
          <w:right w:val="thinThickSmallGap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60"/>
        <w:gridCol w:w="1276"/>
        <w:gridCol w:w="1275"/>
        <w:gridCol w:w="1276"/>
        <w:gridCol w:w="1276"/>
        <w:gridCol w:w="1185"/>
      </w:tblGrid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2660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bookmarkStart w:id="0" w:name="table1"/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业务类别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投诉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举报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咨询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其他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小计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266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规划和政策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266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审批事项取消和下放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266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项目建设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266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电力交易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11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266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电力安全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56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71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266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市场准入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51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57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266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供电服务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406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114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546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266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成本价格和收费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266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其他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97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98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266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合计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28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620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132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783</w:t>
            </w:r>
          </w:p>
        </w:tc>
      </w:tr>
      <w:bookmarkEnd w:id="0"/>
    </w:tbl>
    <w:p>
      <w:pPr>
        <w:spacing w:line="560" w:lineRule="exact"/>
        <w:ind w:firstLine="640" w:firstLineChars="200"/>
        <w:rPr>
          <w:rFonts w:ascii="黑体" w:hAnsi="黑体" w:eastAsia="黑体" w:cs="黑体"/>
          <w:sz w:val="32"/>
        </w:rPr>
      </w:pPr>
      <w:r>
        <w:rPr>
          <w:rFonts w:hint="eastAsia" w:ascii="黑体" w:hAnsi="黑体" w:eastAsia="黑体" w:cs="黑体"/>
          <w:sz w:val="32"/>
        </w:rPr>
        <w:t>三、区域分布情况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color w:val="auto"/>
          <w:sz w:val="32"/>
        </w:rPr>
      </w:pPr>
      <w:r>
        <w:rPr>
          <w:rFonts w:hint="eastAsia" w:ascii="仿宋_GB2312" w:eastAsia="仿宋_GB2312"/>
          <w:sz w:val="32"/>
        </w:rPr>
        <w:t>各地市按照收到的</w:t>
      </w:r>
      <w:r>
        <w:rPr>
          <w:rFonts w:hint="eastAsia" w:ascii="仿宋_GB2312" w:eastAsia="仿宋_GB2312"/>
          <w:color w:val="auto"/>
          <w:sz w:val="32"/>
          <w:lang w:eastAsia="zh-CN"/>
        </w:rPr>
        <w:t>电网企业</w:t>
      </w:r>
      <w:r>
        <w:rPr>
          <w:rFonts w:hint="eastAsia" w:ascii="仿宋_GB2312" w:eastAsia="仿宋_GB2312"/>
          <w:color w:val="auto"/>
          <w:sz w:val="32"/>
        </w:rPr>
        <w:t>有效信息数量排序，青岛市、</w:t>
      </w:r>
      <w:r>
        <w:rPr>
          <w:rFonts w:hint="eastAsia" w:ascii="仿宋_GB2312" w:eastAsia="仿宋_GB2312"/>
          <w:color w:val="auto"/>
          <w:sz w:val="32"/>
          <w:lang w:eastAsia="zh-CN"/>
        </w:rPr>
        <w:t>烟台</w:t>
      </w:r>
      <w:r>
        <w:rPr>
          <w:rFonts w:hint="eastAsia" w:ascii="仿宋_GB2312" w:eastAsia="仿宋_GB2312"/>
          <w:color w:val="auto"/>
          <w:sz w:val="32"/>
        </w:rPr>
        <w:t>市、</w:t>
      </w:r>
      <w:r>
        <w:rPr>
          <w:rFonts w:hint="eastAsia" w:ascii="仿宋_GB2312" w:eastAsia="仿宋_GB2312"/>
          <w:color w:val="auto"/>
          <w:sz w:val="32"/>
          <w:lang w:eastAsia="zh-CN"/>
        </w:rPr>
        <w:t>潍坊市</w:t>
      </w:r>
      <w:r>
        <w:rPr>
          <w:rFonts w:hint="eastAsia" w:ascii="仿宋_GB2312" w:eastAsia="仿宋_GB2312"/>
          <w:color w:val="auto"/>
          <w:sz w:val="32"/>
          <w:lang w:val="en-US" w:eastAsia="zh-CN"/>
        </w:rPr>
        <w:t>、临沂市、德州市、菏泽市、济宁市、济南市、聊城市、泰安市排在</w:t>
      </w:r>
      <w:r>
        <w:rPr>
          <w:rFonts w:hint="eastAsia" w:ascii="仿宋_GB2312" w:eastAsia="仿宋_GB2312"/>
          <w:color w:val="auto"/>
          <w:sz w:val="32"/>
        </w:rPr>
        <w:t>前1</w:t>
      </w:r>
      <w:r>
        <w:rPr>
          <w:rFonts w:hint="eastAsia" w:ascii="仿宋_GB2312" w:eastAsia="仿宋_GB2312"/>
          <w:color w:val="auto"/>
          <w:sz w:val="32"/>
          <w:lang w:val="en-US" w:eastAsia="zh-CN"/>
        </w:rPr>
        <w:t>0</w:t>
      </w:r>
      <w:r>
        <w:rPr>
          <w:rFonts w:hint="eastAsia" w:ascii="仿宋_GB2312" w:eastAsia="仿宋_GB2312"/>
          <w:color w:val="auto"/>
          <w:sz w:val="32"/>
        </w:rPr>
        <w:t>位；按照</w:t>
      </w:r>
      <w:r>
        <w:rPr>
          <w:rFonts w:hint="eastAsia" w:ascii="仿宋_GB2312" w:eastAsia="仿宋_GB2312"/>
          <w:color w:val="auto"/>
          <w:sz w:val="32"/>
          <w:lang w:eastAsia="zh-CN"/>
        </w:rPr>
        <w:t>电网企业</w:t>
      </w:r>
      <w:r>
        <w:rPr>
          <w:rFonts w:hint="eastAsia" w:ascii="仿宋_GB2312" w:eastAsia="仿宋_GB2312"/>
          <w:color w:val="auto"/>
          <w:sz w:val="32"/>
        </w:rPr>
        <w:t>投诉举报数量排序，</w:t>
      </w:r>
      <w:r>
        <w:rPr>
          <w:rFonts w:hint="eastAsia" w:ascii="仿宋_GB2312" w:eastAsia="仿宋_GB2312"/>
          <w:color w:val="auto"/>
          <w:sz w:val="32"/>
          <w:lang w:eastAsia="zh-CN"/>
        </w:rPr>
        <w:t>烟台市、</w:t>
      </w:r>
      <w:r>
        <w:rPr>
          <w:rFonts w:hint="eastAsia" w:ascii="仿宋_GB2312" w:eastAsia="仿宋_GB2312"/>
          <w:color w:val="auto"/>
          <w:sz w:val="32"/>
          <w:lang w:val="en-US" w:eastAsia="zh-CN"/>
        </w:rPr>
        <w:t>潍坊市、德州市、临沂市、威海市</w:t>
      </w:r>
      <w:bookmarkStart w:id="1" w:name="_GoBack"/>
      <w:bookmarkEnd w:id="1"/>
      <w:r>
        <w:rPr>
          <w:rFonts w:hint="eastAsia" w:ascii="仿宋_GB2312" w:eastAsia="仿宋_GB2312"/>
          <w:color w:val="auto"/>
          <w:sz w:val="32"/>
          <w:lang w:val="en-US" w:eastAsia="zh-CN"/>
        </w:rPr>
        <w:t>排在</w:t>
      </w:r>
      <w:r>
        <w:rPr>
          <w:rFonts w:hint="eastAsia" w:ascii="仿宋_GB2312" w:eastAsia="仿宋_GB2312"/>
          <w:color w:val="auto"/>
          <w:sz w:val="32"/>
        </w:rPr>
        <w:t>前</w:t>
      </w:r>
      <w:r>
        <w:rPr>
          <w:rFonts w:hint="eastAsia" w:ascii="仿宋_GB2312" w:eastAsia="仿宋_GB2312"/>
          <w:color w:val="auto"/>
          <w:sz w:val="32"/>
          <w:lang w:val="en-US" w:eastAsia="zh-CN"/>
        </w:rPr>
        <w:t>3</w:t>
      </w:r>
      <w:r>
        <w:rPr>
          <w:rFonts w:hint="eastAsia" w:ascii="仿宋_GB2312" w:eastAsia="仿宋_GB2312"/>
          <w:color w:val="auto"/>
          <w:sz w:val="32"/>
        </w:rPr>
        <w:t>位（202</w:t>
      </w:r>
      <w:r>
        <w:rPr>
          <w:rFonts w:hint="eastAsia" w:ascii="仿宋_GB2312" w:eastAsia="仿宋_GB2312"/>
          <w:color w:val="auto"/>
          <w:sz w:val="32"/>
          <w:lang w:val="en-US" w:eastAsia="zh-CN"/>
        </w:rPr>
        <w:t>4</w:t>
      </w:r>
      <w:r>
        <w:rPr>
          <w:rFonts w:hint="eastAsia" w:ascii="仿宋_GB2312" w:eastAsia="仿宋_GB2312"/>
          <w:color w:val="auto"/>
          <w:sz w:val="32"/>
        </w:rPr>
        <w:t>年</w:t>
      </w:r>
      <w:r>
        <w:rPr>
          <w:rFonts w:hint="eastAsia" w:ascii="仿宋_GB2312" w:eastAsia="仿宋_GB2312"/>
          <w:color w:val="auto"/>
          <w:sz w:val="32"/>
          <w:lang w:val="en-US" w:eastAsia="zh-CN"/>
        </w:rPr>
        <w:t>4月</w:t>
      </w:r>
      <w:r>
        <w:rPr>
          <w:rFonts w:hint="eastAsia" w:ascii="仿宋_GB2312" w:eastAsia="仿宋_GB2312"/>
          <w:color w:val="auto"/>
          <w:sz w:val="32"/>
        </w:rPr>
        <w:t>有效信息及投诉举报排名情况见表3）。</w:t>
      </w:r>
    </w:p>
    <w:p>
      <w:pPr>
        <w:widowControl/>
        <w:snapToGrid w:val="0"/>
        <w:spacing w:before="120" w:beforeLines="50" w:line="560" w:lineRule="exact"/>
        <w:jc w:val="center"/>
        <w:rPr>
          <w:rFonts w:ascii="仿宋" w:hAnsi="仿宋" w:eastAsia="仿宋" w:cs="宋体"/>
          <w:b/>
          <w:kern w:val="0"/>
          <w:sz w:val="30"/>
          <w:szCs w:val="30"/>
        </w:rPr>
      </w:pPr>
      <w:r>
        <w:rPr>
          <w:rFonts w:hint="eastAsia" w:ascii="仿宋" w:hAnsi="仿宋" w:eastAsia="仿宋" w:cs="宋体"/>
          <w:b/>
          <w:color w:val="auto"/>
          <w:kern w:val="0"/>
          <w:sz w:val="30"/>
          <w:szCs w:val="30"/>
        </w:rPr>
        <w:t xml:space="preserve">表3. </w:t>
      </w:r>
      <w:r>
        <w:rPr>
          <w:rFonts w:hint="eastAsia" w:ascii="仿宋" w:hAnsi="仿宋" w:eastAsia="仿宋"/>
          <w:b/>
          <w:color w:val="auto"/>
          <w:sz w:val="30"/>
          <w:szCs w:val="30"/>
        </w:rPr>
        <w:t>202</w:t>
      </w:r>
      <w:r>
        <w:rPr>
          <w:rFonts w:hint="eastAsia" w:ascii="仿宋" w:hAnsi="仿宋" w:eastAsia="仿宋"/>
          <w:b/>
          <w:color w:val="auto"/>
          <w:sz w:val="30"/>
          <w:szCs w:val="30"/>
          <w:lang w:val="en-US" w:eastAsia="zh-CN"/>
        </w:rPr>
        <w:t>4</w:t>
      </w:r>
      <w:r>
        <w:rPr>
          <w:rFonts w:hint="eastAsia" w:ascii="仿宋" w:hAnsi="仿宋" w:eastAsia="仿宋"/>
          <w:b/>
          <w:color w:val="auto"/>
          <w:sz w:val="30"/>
          <w:szCs w:val="30"/>
        </w:rPr>
        <w:t>年</w:t>
      </w:r>
      <w:r>
        <w:rPr>
          <w:rFonts w:hint="eastAsia" w:ascii="仿宋" w:hAnsi="仿宋" w:eastAsia="仿宋"/>
          <w:b/>
          <w:color w:val="auto"/>
          <w:sz w:val="30"/>
          <w:szCs w:val="30"/>
          <w:lang w:val="en-US" w:eastAsia="zh-CN"/>
        </w:rPr>
        <w:t>4月</w:t>
      </w:r>
      <w:r>
        <w:rPr>
          <w:rFonts w:hint="eastAsia" w:ascii="仿宋" w:hAnsi="仿宋" w:eastAsia="仿宋"/>
          <w:b/>
          <w:color w:val="auto"/>
          <w:sz w:val="30"/>
          <w:szCs w:val="30"/>
          <w:lang w:eastAsia="zh-CN"/>
        </w:rPr>
        <w:t>电网企业</w:t>
      </w:r>
      <w:r>
        <w:rPr>
          <w:rFonts w:hint="eastAsia" w:ascii="仿宋" w:hAnsi="仿宋" w:eastAsia="仿宋" w:cs="宋体"/>
          <w:b/>
          <w:color w:val="auto"/>
          <w:kern w:val="0"/>
          <w:sz w:val="30"/>
          <w:szCs w:val="30"/>
        </w:rPr>
        <w:t>有</w:t>
      </w:r>
      <w:r>
        <w:rPr>
          <w:rFonts w:hint="eastAsia" w:ascii="仿宋" w:hAnsi="仿宋" w:eastAsia="仿宋" w:cs="宋体"/>
          <w:b/>
          <w:kern w:val="0"/>
          <w:sz w:val="30"/>
          <w:szCs w:val="30"/>
        </w:rPr>
        <w:t>效信息及投诉举报排名情况</w:t>
      </w:r>
    </w:p>
    <w:p>
      <w:pPr>
        <w:widowControl/>
        <w:snapToGrid w:val="0"/>
        <w:spacing w:line="360" w:lineRule="exact"/>
        <w:jc w:val="center"/>
        <w:rPr>
          <w:rFonts w:ascii="宋体" w:hAnsi="宋体" w:cs="宋体"/>
          <w:kern w:val="0"/>
          <w:sz w:val="24"/>
          <w:szCs w:val="28"/>
        </w:rPr>
      </w:pPr>
      <w:r>
        <w:rPr>
          <w:rFonts w:hint="eastAsia" w:ascii="宋体" w:hAnsi="宋体" w:cs="宋体"/>
          <w:kern w:val="0"/>
          <w:sz w:val="24"/>
          <w:szCs w:val="28"/>
        </w:rPr>
        <w:t xml:space="preserve">                                                               单位：件</w:t>
      </w:r>
    </w:p>
    <w:tbl>
      <w:tblPr>
        <w:tblStyle w:val="6"/>
        <w:tblW w:w="8691" w:type="dxa"/>
        <w:tblInd w:w="108" w:type="dxa"/>
        <w:tblBorders>
          <w:top w:val="thickThinSmallGap" w:color="auto" w:sz="12" w:space="0"/>
          <w:left w:val="thickThinSmallGap" w:color="auto" w:sz="12" w:space="0"/>
          <w:bottom w:val="thickThinSmallGap" w:color="auto" w:sz="12" w:space="0"/>
          <w:right w:val="thickThinSmallGap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5"/>
        <w:gridCol w:w="1984"/>
        <w:gridCol w:w="1984"/>
        <w:gridCol w:w="1984"/>
        <w:gridCol w:w="1984"/>
      </w:tblGrid>
      <w:tr>
        <w:tblPrEx>
          <w:tblBorders>
            <w:top w:val="thickThinSmallGap" w:color="auto" w:sz="12" w:space="0"/>
            <w:left w:val="thickThin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 w:cs="仿宋_GB2312"/>
                <w:kern w:val="0"/>
                <w:sz w:val="24"/>
                <w:szCs w:val="24"/>
              </w:rPr>
              <w:t>排序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 w:cs="仿宋_GB2312"/>
                <w:kern w:val="0"/>
                <w:sz w:val="24"/>
                <w:szCs w:val="24"/>
              </w:rPr>
              <w:t>地市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 w:cs="仿宋_GB2312"/>
                <w:kern w:val="0"/>
                <w:sz w:val="24"/>
                <w:szCs w:val="24"/>
              </w:rPr>
              <w:t>有效信息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 w:cs="仿宋_GB2312"/>
                <w:kern w:val="0"/>
                <w:sz w:val="24"/>
                <w:szCs w:val="24"/>
              </w:rPr>
              <w:t>地市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 w:cs="仿宋_GB2312"/>
                <w:kern w:val="0"/>
                <w:sz w:val="24"/>
                <w:szCs w:val="24"/>
              </w:rPr>
              <w:t>投诉举报</w:t>
            </w:r>
          </w:p>
        </w:tc>
      </w:tr>
      <w:tr>
        <w:tblPrEx>
          <w:tblBorders>
            <w:top w:val="thickThinSmallGap" w:color="auto" w:sz="12" w:space="0"/>
            <w:left w:val="thickThin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</w:t>
            </w:r>
          </w:p>
        </w:tc>
        <w:tc>
          <w:tcPr>
            <w:tcW w:w="1984" w:type="dxa"/>
            <w:noWrap w:val="0"/>
            <w:vAlign w:val="bottom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  <w:t>青岛市</w:t>
            </w:r>
          </w:p>
        </w:tc>
        <w:tc>
          <w:tcPr>
            <w:tcW w:w="1984" w:type="dxa"/>
            <w:noWrap w:val="0"/>
            <w:vAlign w:val="bottom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  <w:t>135</w:t>
            </w:r>
          </w:p>
        </w:tc>
        <w:tc>
          <w:tcPr>
            <w:tcW w:w="1984" w:type="dxa"/>
            <w:noWrap w:val="0"/>
            <w:vAlign w:val="bottom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  <w:t>烟台市</w:t>
            </w:r>
          </w:p>
        </w:tc>
        <w:tc>
          <w:tcPr>
            <w:tcW w:w="1984" w:type="dxa"/>
            <w:noWrap w:val="0"/>
            <w:vAlign w:val="bottom"/>
          </w:tcPr>
          <w:p>
            <w:pPr>
              <w:spacing w:line="56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7</w:t>
            </w:r>
          </w:p>
        </w:tc>
      </w:tr>
      <w:tr>
        <w:tblPrEx>
          <w:tblBorders>
            <w:top w:val="thickThinSmallGap" w:color="auto" w:sz="12" w:space="0"/>
            <w:left w:val="thickThin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</w:t>
            </w:r>
          </w:p>
        </w:tc>
        <w:tc>
          <w:tcPr>
            <w:tcW w:w="1984" w:type="dxa"/>
            <w:noWrap w:val="0"/>
            <w:vAlign w:val="bottom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  <w:t>烟台市</w:t>
            </w:r>
          </w:p>
        </w:tc>
        <w:tc>
          <w:tcPr>
            <w:tcW w:w="1984" w:type="dxa"/>
            <w:noWrap w:val="0"/>
            <w:vAlign w:val="bottom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  <w:t>116</w:t>
            </w:r>
          </w:p>
        </w:tc>
        <w:tc>
          <w:tcPr>
            <w:tcW w:w="1984" w:type="dxa"/>
            <w:noWrap w:val="0"/>
            <w:vAlign w:val="bottom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  <w:t>潍坊市</w:t>
            </w:r>
          </w:p>
        </w:tc>
        <w:tc>
          <w:tcPr>
            <w:tcW w:w="1984" w:type="dxa"/>
            <w:noWrap w:val="0"/>
            <w:vAlign w:val="bottom"/>
          </w:tcPr>
          <w:p>
            <w:pPr>
              <w:spacing w:line="56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Borders>
            <w:top w:val="thickThinSmallGap" w:color="auto" w:sz="12" w:space="0"/>
            <w:left w:val="thickThin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3</w:t>
            </w:r>
          </w:p>
        </w:tc>
        <w:tc>
          <w:tcPr>
            <w:tcW w:w="1984" w:type="dxa"/>
            <w:noWrap w:val="0"/>
            <w:vAlign w:val="bottom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  <w:t>潍坊市</w:t>
            </w:r>
          </w:p>
        </w:tc>
        <w:tc>
          <w:tcPr>
            <w:tcW w:w="1984" w:type="dxa"/>
            <w:noWrap w:val="0"/>
            <w:vAlign w:val="bottom"/>
          </w:tcPr>
          <w:p>
            <w:pPr>
              <w:spacing w:line="56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  <w:t>110</w:t>
            </w:r>
          </w:p>
        </w:tc>
        <w:tc>
          <w:tcPr>
            <w:tcW w:w="1984" w:type="dxa"/>
            <w:noWrap w:val="0"/>
            <w:vAlign w:val="bottom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  <w:t>德州市</w:t>
            </w:r>
          </w:p>
        </w:tc>
        <w:tc>
          <w:tcPr>
            <w:tcW w:w="1984" w:type="dxa"/>
            <w:noWrap w:val="0"/>
            <w:vAlign w:val="bottom"/>
          </w:tcPr>
          <w:p>
            <w:pPr>
              <w:spacing w:line="56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  <w:t>4</w:t>
            </w:r>
          </w:p>
        </w:tc>
      </w:tr>
      <w:tr>
        <w:tblPrEx>
          <w:tblBorders>
            <w:top w:val="thickThinSmallGap" w:color="auto" w:sz="12" w:space="0"/>
            <w:left w:val="thickThin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4</w:t>
            </w:r>
          </w:p>
        </w:tc>
        <w:tc>
          <w:tcPr>
            <w:tcW w:w="1984" w:type="dxa"/>
            <w:noWrap w:val="0"/>
            <w:vAlign w:val="bottom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  <w:t>临沂市</w:t>
            </w:r>
          </w:p>
        </w:tc>
        <w:tc>
          <w:tcPr>
            <w:tcW w:w="1984" w:type="dxa"/>
            <w:noWrap w:val="0"/>
            <w:vAlign w:val="bottom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  <w:t>94</w:t>
            </w:r>
          </w:p>
        </w:tc>
        <w:tc>
          <w:tcPr>
            <w:tcW w:w="1984" w:type="dxa"/>
            <w:noWrap w:val="0"/>
            <w:vAlign w:val="bottom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  <w:t>临沂市</w:t>
            </w:r>
          </w:p>
        </w:tc>
        <w:tc>
          <w:tcPr>
            <w:tcW w:w="1984" w:type="dxa"/>
            <w:noWrap w:val="0"/>
            <w:vAlign w:val="bottom"/>
          </w:tcPr>
          <w:p>
            <w:pPr>
              <w:spacing w:line="56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  <w:t>4</w:t>
            </w:r>
          </w:p>
        </w:tc>
      </w:tr>
      <w:tr>
        <w:tblPrEx>
          <w:tblBorders>
            <w:top w:val="thickThinSmallGap" w:color="auto" w:sz="12" w:space="0"/>
            <w:left w:val="thickThin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5</w:t>
            </w:r>
          </w:p>
        </w:tc>
        <w:tc>
          <w:tcPr>
            <w:tcW w:w="1984" w:type="dxa"/>
            <w:noWrap w:val="0"/>
            <w:vAlign w:val="bottom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  <w:t>德州市</w:t>
            </w:r>
          </w:p>
        </w:tc>
        <w:tc>
          <w:tcPr>
            <w:tcW w:w="1984" w:type="dxa"/>
            <w:noWrap w:val="0"/>
            <w:vAlign w:val="bottom"/>
          </w:tcPr>
          <w:p>
            <w:pPr>
              <w:spacing w:line="56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  <w:t>81</w:t>
            </w:r>
          </w:p>
        </w:tc>
        <w:tc>
          <w:tcPr>
            <w:tcW w:w="1984" w:type="dxa"/>
            <w:noWrap w:val="0"/>
            <w:vAlign w:val="bottom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  <w:t>威海市</w:t>
            </w:r>
          </w:p>
        </w:tc>
        <w:tc>
          <w:tcPr>
            <w:tcW w:w="1984" w:type="dxa"/>
            <w:noWrap w:val="0"/>
            <w:vAlign w:val="bottom"/>
          </w:tcPr>
          <w:p>
            <w:pPr>
              <w:spacing w:line="56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  <w:t>4</w:t>
            </w:r>
          </w:p>
        </w:tc>
      </w:tr>
      <w:tr>
        <w:tblPrEx>
          <w:tblBorders>
            <w:top w:val="thickThinSmallGap" w:color="auto" w:sz="12" w:space="0"/>
            <w:left w:val="thickThin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6</w:t>
            </w:r>
          </w:p>
        </w:tc>
        <w:tc>
          <w:tcPr>
            <w:tcW w:w="1984" w:type="dxa"/>
            <w:noWrap w:val="0"/>
            <w:vAlign w:val="bottom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  <w:t>菏泽市</w:t>
            </w:r>
          </w:p>
        </w:tc>
        <w:tc>
          <w:tcPr>
            <w:tcW w:w="1984" w:type="dxa"/>
            <w:noWrap w:val="0"/>
            <w:vAlign w:val="bottom"/>
          </w:tcPr>
          <w:p>
            <w:pPr>
              <w:spacing w:line="56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  <w:t>68</w:t>
            </w:r>
          </w:p>
        </w:tc>
        <w:tc>
          <w:tcPr>
            <w:tcW w:w="1984" w:type="dxa"/>
            <w:noWrap w:val="0"/>
            <w:vAlign w:val="bottom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  <w:t>青岛市</w:t>
            </w:r>
          </w:p>
        </w:tc>
        <w:tc>
          <w:tcPr>
            <w:tcW w:w="1984" w:type="dxa"/>
            <w:noWrap w:val="0"/>
            <w:vAlign w:val="bottom"/>
          </w:tcPr>
          <w:p>
            <w:pPr>
              <w:spacing w:line="56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Borders>
            <w:top w:val="thickThinSmallGap" w:color="auto" w:sz="12" w:space="0"/>
            <w:left w:val="thickThin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7</w:t>
            </w:r>
          </w:p>
        </w:tc>
        <w:tc>
          <w:tcPr>
            <w:tcW w:w="1984" w:type="dxa"/>
            <w:noWrap w:val="0"/>
            <w:vAlign w:val="bottom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  <w:t>济宁市</w:t>
            </w:r>
          </w:p>
        </w:tc>
        <w:tc>
          <w:tcPr>
            <w:tcW w:w="1984" w:type="dxa"/>
            <w:noWrap w:val="0"/>
            <w:vAlign w:val="bottom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  <w:t>64</w:t>
            </w:r>
          </w:p>
        </w:tc>
        <w:tc>
          <w:tcPr>
            <w:tcW w:w="1984" w:type="dxa"/>
            <w:noWrap w:val="0"/>
            <w:vAlign w:val="bottom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  <w:t>枣庄市</w:t>
            </w:r>
          </w:p>
        </w:tc>
        <w:tc>
          <w:tcPr>
            <w:tcW w:w="1984" w:type="dxa"/>
            <w:noWrap w:val="0"/>
            <w:vAlign w:val="bottom"/>
          </w:tcPr>
          <w:p>
            <w:pPr>
              <w:spacing w:line="56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Borders>
            <w:top w:val="thickThinSmallGap" w:color="auto" w:sz="12" w:space="0"/>
            <w:left w:val="thickThin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8</w:t>
            </w:r>
          </w:p>
        </w:tc>
        <w:tc>
          <w:tcPr>
            <w:tcW w:w="1984" w:type="dxa"/>
            <w:noWrap w:val="0"/>
            <w:vAlign w:val="bottom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  <w:t>济南市</w:t>
            </w:r>
          </w:p>
        </w:tc>
        <w:tc>
          <w:tcPr>
            <w:tcW w:w="1984" w:type="dxa"/>
            <w:noWrap w:val="0"/>
            <w:vAlign w:val="bottom"/>
          </w:tcPr>
          <w:p>
            <w:pPr>
              <w:spacing w:line="56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  <w:t>56</w:t>
            </w:r>
          </w:p>
        </w:tc>
        <w:tc>
          <w:tcPr>
            <w:tcW w:w="1984" w:type="dxa"/>
            <w:noWrap w:val="0"/>
            <w:vAlign w:val="bottom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  <w:t>淄博市</w:t>
            </w:r>
          </w:p>
        </w:tc>
        <w:tc>
          <w:tcPr>
            <w:tcW w:w="1984" w:type="dxa"/>
            <w:noWrap w:val="0"/>
            <w:vAlign w:val="bottom"/>
          </w:tcPr>
          <w:p>
            <w:pPr>
              <w:spacing w:line="56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Borders>
            <w:top w:val="thickThinSmallGap" w:color="auto" w:sz="12" w:space="0"/>
            <w:left w:val="thickThin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9</w:t>
            </w:r>
          </w:p>
        </w:tc>
        <w:tc>
          <w:tcPr>
            <w:tcW w:w="1984" w:type="dxa"/>
            <w:noWrap w:val="0"/>
            <w:vAlign w:val="bottom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  <w:t>聊城市</w:t>
            </w:r>
          </w:p>
        </w:tc>
        <w:tc>
          <w:tcPr>
            <w:tcW w:w="1984" w:type="dxa"/>
            <w:noWrap w:val="0"/>
            <w:vAlign w:val="bottom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  <w:t>55</w:t>
            </w:r>
          </w:p>
        </w:tc>
        <w:tc>
          <w:tcPr>
            <w:tcW w:w="1984" w:type="dxa"/>
            <w:noWrap w:val="0"/>
            <w:vAlign w:val="bottom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  <w:t>菏泽市</w:t>
            </w:r>
          </w:p>
        </w:tc>
        <w:tc>
          <w:tcPr>
            <w:tcW w:w="1984" w:type="dxa"/>
            <w:noWrap w:val="0"/>
            <w:vAlign w:val="bottom"/>
          </w:tcPr>
          <w:p>
            <w:pPr>
              <w:spacing w:line="56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Borders>
            <w:top w:val="thickThinSmallGap" w:color="auto" w:sz="12" w:space="0"/>
            <w:left w:val="thickThin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10</w:t>
            </w:r>
          </w:p>
        </w:tc>
        <w:tc>
          <w:tcPr>
            <w:tcW w:w="1984" w:type="dxa"/>
            <w:noWrap w:val="0"/>
            <w:vAlign w:val="bottom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  <w:t>泰安市</w:t>
            </w:r>
          </w:p>
        </w:tc>
        <w:tc>
          <w:tcPr>
            <w:tcW w:w="1984" w:type="dxa"/>
            <w:noWrap w:val="0"/>
            <w:vAlign w:val="bottom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  <w:t>43</w:t>
            </w:r>
          </w:p>
        </w:tc>
        <w:tc>
          <w:tcPr>
            <w:tcW w:w="1984" w:type="dxa"/>
            <w:noWrap w:val="0"/>
            <w:vAlign w:val="bottom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  <w:t>济南市</w:t>
            </w:r>
          </w:p>
        </w:tc>
        <w:tc>
          <w:tcPr>
            <w:tcW w:w="1984" w:type="dxa"/>
            <w:noWrap w:val="0"/>
            <w:vAlign w:val="bottom"/>
          </w:tcPr>
          <w:p>
            <w:pPr>
              <w:spacing w:line="56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Borders>
            <w:top w:val="thickThinSmallGap" w:color="auto" w:sz="12" w:space="0"/>
            <w:left w:val="thickThin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11</w:t>
            </w:r>
          </w:p>
        </w:tc>
        <w:tc>
          <w:tcPr>
            <w:tcW w:w="1984" w:type="dxa"/>
            <w:noWrap w:val="0"/>
            <w:vAlign w:val="bottom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  <w:t>淄博市</w:t>
            </w:r>
          </w:p>
        </w:tc>
        <w:tc>
          <w:tcPr>
            <w:tcW w:w="1984" w:type="dxa"/>
            <w:noWrap w:val="0"/>
            <w:vAlign w:val="bottom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  <w:t>37</w:t>
            </w:r>
          </w:p>
        </w:tc>
        <w:tc>
          <w:tcPr>
            <w:tcW w:w="1984" w:type="dxa"/>
            <w:noWrap w:val="0"/>
            <w:vAlign w:val="bottom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  <w:t>济宁市</w:t>
            </w:r>
          </w:p>
        </w:tc>
        <w:tc>
          <w:tcPr>
            <w:tcW w:w="1984" w:type="dxa"/>
            <w:noWrap w:val="0"/>
            <w:vAlign w:val="bottom"/>
          </w:tcPr>
          <w:p>
            <w:pPr>
              <w:spacing w:line="56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Borders>
            <w:top w:val="thickThinSmallGap" w:color="auto" w:sz="12" w:space="0"/>
            <w:left w:val="thickThin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12</w:t>
            </w:r>
          </w:p>
        </w:tc>
        <w:tc>
          <w:tcPr>
            <w:tcW w:w="1984" w:type="dxa"/>
            <w:noWrap w:val="0"/>
            <w:vAlign w:val="bottom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  <w:t>滨州市</w:t>
            </w:r>
          </w:p>
        </w:tc>
        <w:tc>
          <w:tcPr>
            <w:tcW w:w="1984" w:type="dxa"/>
            <w:noWrap w:val="0"/>
            <w:vAlign w:val="bottom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  <w:t>36</w:t>
            </w:r>
          </w:p>
        </w:tc>
        <w:tc>
          <w:tcPr>
            <w:tcW w:w="1984" w:type="dxa"/>
            <w:noWrap w:val="0"/>
            <w:vAlign w:val="bottom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  <w:t>日照市</w:t>
            </w:r>
          </w:p>
        </w:tc>
        <w:tc>
          <w:tcPr>
            <w:tcW w:w="1984" w:type="dxa"/>
            <w:noWrap w:val="0"/>
            <w:vAlign w:val="bottom"/>
          </w:tcPr>
          <w:p>
            <w:pPr>
              <w:spacing w:line="56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Borders>
            <w:top w:val="thickThinSmallGap" w:color="auto" w:sz="12" w:space="0"/>
            <w:left w:val="thickThin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" w:hRule="atLeast"/>
        </w:trPr>
        <w:tc>
          <w:tcPr>
            <w:tcW w:w="75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13</w:t>
            </w:r>
          </w:p>
        </w:tc>
        <w:tc>
          <w:tcPr>
            <w:tcW w:w="1984" w:type="dxa"/>
            <w:noWrap w:val="0"/>
            <w:vAlign w:val="bottom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  <w:t>威海市</w:t>
            </w:r>
          </w:p>
        </w:tc>
        <w:tc>
          <w:tcPr>
            <w:tcW w:w="1984" w:type="dxa"/>
            <w:noWrap w:val="0"/>
            <w:vAlign w:val="bottom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  <w:t>33</w:t>
            </w:r>
          </w:p>
        </w:tc>
        <w:tc>
          <w:tcPr>
            <w:tcW w:w="1984" w:type="dxa"/>
            <w:noWrap w:val="0"/>
            <w:vAlign w:val="bottom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  <w:t>泰安市</w:t>
            </w:r>
          </w:p>
        </w:tc>
        <w:tc>
          <w:tcPr>
            <w:tcW w:w="1984" w:type="dxa"/>
            <w:noWrap w:val="0"/>
            <w:vAlign w:val="bottom"/>
          </w:tcPr>
          <w:p>
            <w:pPr>
              <w:spacing w:line="56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Borders>
            <w:top w:val="thickThinSmallGap" w:color="auto" w:sz="12" w:space="0"/>
            <w:left w:val="thickThin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14</w:t>
            </w:r>
          </w:p>
        </w:tc>
        <w:tc>
          <w:tcPr>
            <w:tcW w:w="1984" w:type="dxa"/>
            <w:noWrap w:val="0"/>
            <w:vAlign w:val="bottom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  <w:t>枣庄市</w:t>
            </w:r>
          </w:p>
        </w:tc>
        <w:tc>
          <w:tcPr>
            <w:tcW w:w="1984" w:type="dxa"/>
            <w:noWrap w:val="0"/>
            <w:vAlign w:val="bottom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  <w:t>29</w:t>
            </w:r>
          </w:p>
        </w:tc>
        <w:tc>
          <w:tcPr>
            <w:tcW w:w="1984" w:type="dxa"/>
            <w:noWrap w:val="0"/>
            <w:vAlign w:val="bottom"/>
          </w:tcPr>
          <w:p>
            <w:pPr>
              <w:spacing w:line="56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  <w:t>滨州市</w:t>
            </w:r>
          </w:p>
        </w:tc>
        <w:tc>
          <w:tcPr>
            <w:tcW w:w="1984" w:type="dxa"/>
            <w:noWrap w:val="0"/>
            <w:vAlign w:val="bottom"/>
          </w:tcPr>
          <w:p>
            <w:pPr>
              <w:spacing w:line="56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thickThinSmallGap" w:color="auto" w:sz="12" w:space="0"/>
            <w:left w:val="thickThin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75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15</w:t>
            </w:r>
          </w:p>
        </w:tc>
        <w:tc>
          <w:tcPr>
            <w:tcW w:w="1984" w:type="dxa"/>
            <w:noWrap w:val="0"/>
            <w:vAlign w:val="bottom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  <w:t>东营市</w:t>
            </w:r>
          </w:p>
        </w:tc>
        <w:tc>
          <w:tcPr>
            <w:tcW w:w="1984" w:type="dxa"/>
            <w:noWrap w:val="0"/>
            <w:vAlign w:val="bottom"/>
          </w:tcPr>
          <w:p>
            <w:pPr>
              <w:spacing w:line="56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  <w:t>28</w:t>
            </w:r>
          </w:p>
        </w:tc>
        <w:tc>
          <w:tcPr>
            <w:tcW w:w="1984" w:type="dxa"/>
            <w:noWrap w:val="0"/>
            <w:vAlign w:val="bottom"/>
          </w:tcPr>
          <w:p>
            <w:pPr>
              <w:spacing w:line="56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  <w:t>东营市</w:t>
            </w:r>
          </w:p>
        </w:tc>
        <w:tc>
          <w:tcPr>
            <w:tcW w:w="1984" w:type="dxa"/>
            <w:noWrap w:val="0"/>
            <w:vAlign w:val="bottom"/>
          </w:tcPr>
          <w:p>
            <w:pPr>
              <w:spacing w:line="56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thickThinSmallGap" w:color="auto" w:sz="12" w:space="0"/>
            <w:left w:val="thickThin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16</w:t>
            </w:r>
          </w:p>
        </w:tc>
        <w:tc>
          <w:tcPr>
            <w:tcW w:w="1984" w:type="dxa"/>
            <w:noWrap w:val="0"/>
            <w:vAlign w:val="bottom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  <w:t>日照市</w:t>
            </w:r>
          </w:p>
        </w:tc>
        <w:tc>
          <w:tcPr>
            <w:tcW w:w="1984" w:type="dxa"/>
            <w:noWrap w:val="0"/>
            <w:vAlign w:val="bottom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198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984" w:type="dxa"/>
            <w:noWrap w:val="0"/>
            <w:vAlign w:val="bottom"/>
          </w:tcPr>
          <w:p>
            <w:pPr>
              <w:spacing w:line="56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thickThinSmallGap" w:color="auto" w:sz="12" w:space="0"/>
            <w:left w:val="thickThin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17</w:t>
            </w:r>
          </w:p>
        </w:tc>
        <w:tc>
          <w:tcPr>
            <w:tcW w:w="1984" w:type="dxa"/>
            <w:noWrap w:val="0"/>
            <w:vAlign w:val="bottom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莱芜区、钢城区</w:t>
            </w:r>
          </w:p>
        </w:tc>
        <w:tc>
          <w:tcPr>
            <w:tcW w:w="1984" w:type="dxa"/>
            <w:noWrap w:val="0"/>
            <w:vAlign w:val="bottom"/>
          </w:tcPr>
          <w:p>
            <w:pPr>
              <w:spacing w:line="56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984" w:type="dxa"/>
            <w:noWrap w:val="0"/>
            <w:vAlign w:val="bottom"/>
          </w:tcPr>
          <w:p>
            <w:pPr>
              <w:spacing w:line="56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984" w:type="dxa"/>
            <w:noWrap w:val="0"/>
            <w:vAlign w:val="bottom"/>
          </w:tcPr>
          <w:p>
            <w:pPr>
              <w:spacing w:line="56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</w:p>
        </w:tc>
      </w:tr>
    </w:tbl>
    <w:p>
      <w:pPr>
        <w:spacing w:line="360" w:lineRule="exact"/>
        <w:rPr>
          <w:rFonts w:ascii="仿宋_GB2312" w:hAnsi="仿宋" w:eastAsia="仿宋_GB2312" w:cs="仿宋"/>
          <w:szCs w:val="21"/>
          <w:shd w:val="clear" w:color="auto" w:fill="FFFFFF"/>
        </w:rPr>
      </w:pPr>
      <w:r>
        <w:rPr>
          <w:rFonts w:hint="eastAsia" w:ascii="仿宋_GB2312" w:hAnsi="仿宋" w:eastAsia="仿宋_GB2312" w:cs="仿宋"/>
          <w:szCs w:val="21"/>
          <w:shd w:val="clear" w:color="auto" w:fill="FFFFFF"/>
        </w:rPr>
        <w:t>注：因国网莱芜供电公司仍为独立的市级供电企业，服务莱芜区和钢城区，未与国网济南供电公司合并，故单列莱芜区、钢城区。</w:t>
      </w:r>
    </w:p>
    <w:p>
      <w:pPr>
        <w:spacing w:line="360" w:lineRule="exact"/>
        <w:ind w:firstLine="398" w:firstLineChars="200"/>
        <w:rPr>
          <w:rFonts w:ascii="仿宋_GB2312" w:hAnsi="仿宋" w:eastAsia="仿宋_GB2312" w:cs="仿宋"/>
          <w:w w:val="95"/>
          <w:szCs w:val="21"/>
          <w:shd w:val="clear" w:color="auto" w:fill="FFFFFF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2098" w:right="1474" w:bottom="1418" w:left="1588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rFonts w:ascii="仿宋_GB2312" w:eastAsia="仿宋_GB2312"/>
        <w:sz w:val="28"/>
        <w:szCs w:val="28"/>
      </w:rPr>
    </w:pPr>
    <w:r>
      <w:rPr>
        <w:rFonts w:hint="eastAsia" w:ascii="仿宋_GB2312" w:eastAsia="仿宋_GB2312"/>
        <w:sz w:val="28"/>
        <w:szCs w:val="28"/>
      </w:rPr>
      <w:t>—</w:t>
    </w:r>
    <w:r>
      <w:rPr>
        <w:rFonts w:hint="eastAsia" w:ascii="仿宋_GB2312" w:eastAsia="仿宋_GB2312"/>
        <w:sz w:val="28"/>
        <w:szCs w:val="28"/>
      </w:rPr>
      <w:fldChar w:fldCharType="begin"/>
    </w:r>
    <w:r>
      <w:rPr>
        <w:rStyle w:val="8"/>
        <w:rFonts w:hint="eastAsia" w:ascii="仿宋_GB2312" w:eastAsia="仿宋_GB2312"/>
        <w:sz w:val="28"/>
        <w:szCs w:val="28"/>
      </w:rPr>
      <w:instrText xml:space="preserve"> PAGE </w:instrText>
    </w:r>
    <w:r>
      <w:rPr>
        <w:rFonts w:hint="eastAsia" w:ascii="仿宋_GB2312" w:eastAsia="仿宋_GB2312"/>
        <w:sz w:val="28"/>
        <w:szCs w:val="28"/>
      </w:rPr>
      <w:fldChar w:fldCharType="separate"/>
    </w:r>
    <w:r>
      <w:rPr>
        <w:rStyle w:val="8"/>
        <w:rFonts w:ascii="仿宋_GB2312" w:eastAsia="仿宋_GB2312"/>
        <w:sz w:val="28"/>
        <w:szCs w:val="28"/>
      </w:rPr>
      <w:t>6</w:t>
    </w:r>
    <w:r>
      <w:rPr>
        <w:rFonts w:hint="eastAsia" w:ascii="仿宋_GB2312" w:eastAsia="仿宋_GB2312"/>
        <w:sz w:val="28"/>
        <w:szCs w:val="28"/>
      </w:rPr>
      <w:fldChar w:fldCharType="end"/>
    </w:r>
    <w:r>
      <w:rPr>
        <w:rFonts w:hint="eastAsia" w:ascii="仿宋_GB2312" w:eastAsia="仿宋_GB2312"/>
        <w:sz w:val="28"/>
        <w:szCs w:val="28"/>
      </w:rPr>
      <w:t>—</w:t>
    </w:r>
  </w:p>
  <w:p>
    <w:pPr>
      <w:pStyle w:val="3"/>
      <w:jc w:val="right"/>
      <w:rPr>
        <w:rFonts w:ascii="Times New Roman" w:hAnsi="Times New Roman"/>
        <w:sz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fldChar w:fldCharType="begin"/>
    </w:r>
    <w:r>
      <w:rPr>
        <w:rFonts w:ascii="Times New Roman" w:hAnsi="Times New Roman"/>
        <w:sz w:val="24"/>
      </w:rPr>
      <w:instrText xml:space="preserve">PAGE   \* MERGEFORMAT</w:instrText>
    </w:r>
    <w:r>
      <w:rPr>
        <w:rFonts w:ascii="Times New Roman" w:hAnsi="Times New Roman"/>
        <w:sz w:val="24"/>
      </w:rPr>
      <w:fldChar w:fldCharType="separate"/>
    </w:r>
    <w:r>
      <w:t>6</w:t>
    </w:r>
    <w:r>
      <w:rPr>
        <w:rFonts w:ascii="Times New Roman" w:hAnsi="Times New Roman"/>
        <w:sz w:val="24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HorizontalSpacing w:val="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FmYTczMTAxYTk1YWMxYzg2YWE0M2QyYmQwNjk2ZjkifQ=="/>
  </w:docVars>
  <w:rsids>
    <w:rsidRoot w:val="00172A27"/>
    <w:rsid w:val="004972B2"/>
    <w:rsid w:val="00610241"/>
    <w:rsid w:val="006D0776"/>
    <w:rsid w:val="00776045"/>
    <w:rsid w:val="008A479A"/>
    <w:rsid w:val="010F5C62"/>
    <w:rsid w:val="012C0F8D"/>
    <w:rsid w:val="014D28C9"/>
    <w:rsid w:val="017D27EF"/>
    <w:rsid w:val="018517F3"/>
    <w:rsid w:val="019C01B8"/>
    <w:rsid w:val="01E44FDB"/>
    <w:rsid w:val="01E463EA"/>
    <w:rsid w:val="01EA0D72"/>
    <w:rsid w:val="0214394C"/>
    <w:rsid w:val="027D5300"/>
    <w:rsid w:val="02B11F76"/>
    <w:rsid w:val="02CB619B"/>
    <w:rsid w:val="02DA63DE"/>
    <w:rsid w:val="03516017"/>
    <w:rsid w:val="039A04CF"/>
    <w:rsid w:val="041D4DA1"/>
    <w:rsid w:val="042859D7"/>
    <w:rsid w:val="04291FE1"/>
    <w:rsid w:val="045868E3"/>
    <w:rsid w:val="0482288A"/>
    <w:rsid w:val="04A17106"/>
    <w:rsid w:val="04AC4074"/>
    <w:rsid w:val="05057DA5"/>
    <w:rsid w:val="050D62E0"/>
    <w:rsid w:val="053D3CFB"/>
    <w:rsid w:val="058014BF"/>
    <w:rsid w:val="059334F5"/>
    <w:rsid w:val="059A464D"/>
    <w:rsid w:val="05BD0E26"/>
    <w:rsid w:val="05C55968"/>
    <w:rsid w:val="06702991"/>
    <w:rsid w:val="06BC1EBF"/>
    <w:rsid w:val="06C96448"/>
    <w:rsid w:val="06CA717F"/>
    <w:rsid w:val="070A081A"/>
    <w:rsid w:val="071C2680"/>
    <w:rsid w:val="07561D0A"/>
    <w:rsid w:val="07562F1A"/>
    <w:rsid w:val="07796D6A"/>
    <w:rsid w:val="078608E3"/>
    <w:rsid w:val="07FD1D5C"/>
    <w:rsid w:val="08053B6F"/>
    <w:rsid w:val="08193A21"/>
    <w:rsid w:val="08291950"/>
    <w:rsid w:val="085C2D53"/>
    <w:rsid w:val="088870B7"/>
    <w:rsid w:val="09144B85"/>
    <w:rsid w:val="093027EC"/>
    <w:rsid w:val="09A0766A"/>
    <w:rsid w:val="0A0106F5"/>
    <w:rsid w:val="0A054AC0"/>
    <w:rsid w:val="0A126D81"/>
    <w:rsid w:val="0A4B6755"/>
    <w:rsid w:val="0A854E03"/>
    <w:rsid w:val="0AB36812"/>
    <w:rsid w:val="0ADE3D40"/>
    <w:rsid w:val="0AEE1BE3"/>
    <w:rsid w:val="0B1575C2"/>
    <w:rsid w:val="0B885215"/>
    <w:rsid w:val="0B8E44DD"/>
    <w:rsid w:val="0BA91C3F"/>
    <w:rsid w:val="0C184AA0"/>
    <w:rsid w:val="0C37482C"/>
    <w:rsid w:val="0C5A3E97"/>
    <w:rsid w:val="0CBB736F"/>
    <w:rsid w:val="0D2001FB"/>
    <w:rsid w:val="0D3122B2"/>
    <w:rsid w:val="0D8A05FA"/>
    <w:rsid w:val="0DE70BA4"/>
    <w:rsid w:val="0E016263"/>
    <w:rsid w:val="0E8C2F0A"/>
    <w:rsid w:val="0F205BA5"/>
    <w:rsid w:val="0F6C6C65"/>
    <w:rsid w:val="0FC0673B"/>
    <w:rsid w:val="0FF43E09"/>
    <w:rsid w:val="0FFA773F"/>
    <w:rsid w:val="1030763E"/>
    <w:rsid w:val="104E6213"/>
    <w:rsid w:val="10585B1F"/>
    <w:rsid w:val="10970C72"/>
    <w:rsid w:val="10C73212"/>
    <w:rsid w:val="1108690A"/>
    <w:rsid w:val="114D4015"/>
    <w:rsid w:val="1160097C"/>
    <w:rsid w:val="1164589F"/>
    <w:rsid w:val="118C7D42"/>
    <w:rsid w:val="12315F7C"/>
    <w:rsid w:val="124C7CFC"/>
    <w:rsid w:val="125E7BB8"/>
    <w:rsid w:val="12681288"/>
    <w:rsid w:val="12BD6FA4"/>
    <w:rsid w:val="12C41708"/>
    <w:rsid w:val="12D51EBF"/>
    <w:rsid w:val="12D77271"/>
    <w:rsid w:val="130F3103"/>
    <w:rsid w:val="1312436F"/>
    <w:rsid w:val="132B30C7"/>
    <w:rsid w:val="138C2D5E"/>
    <w:rsid w:val="13A347EB"/>
    <w:rsid w:val="13C407C9"/>
    <w:rsid w:val="13D71CA6"/>
    <w:rsid w:val="14006D8A"/>
    <w:rsid w:val="142C488B"/>
    <w:rsid w:val="14491321"/>
    <w:rsid w:val="14AB256A"/>
    <w:rsid w:val="14D3617A"/>
    <w:rsid w:val="151853FD"/>
    <w:rsid w:val="15234C20"/>
    <w:rsid w:val="15413CEF"/>
    <w:rsid w:val="15531666"/>
    <w:rsid w:val="155B1207"/>
    <w:rsid w:val="155E4C4D"/>
    <w:rsid w:val="15682281"/>
    <w:rsid w:val="158F0CFB"/>
    <w:rsid w:val="15AE076A"/>
    <w:rsid w:val="15E07B24"/>
    <w:rsid w:val="15EA5990"/>
    <w:rsid w:val="163276B5"/>
    <w:rsid w:val="166F1078"/>
    <w:rsid w:val="16AD7C8F"/>
    <w:rsid w:val="17683B61"/>
    <w:rsid w:val="17CA2187"/>
    <w:rsid w:val="18831D0E"/>
    <w:rsid w:val="189B1A2A"/>
    <w:rsid w:val="18AD6E1E"/>
    <w:rsid w:val="18AE4A38"/>
    <w:rsid w:val="18AF5EEB"/>
    <w:rsid w:val="18DE6812"/>
    <w:rsid w:val="19092AA6"/>
    <w:rsid w:val="19521D97"/>
    <w:rsid w:val="197E08D5"/>
    <w:rsid w:val="1987617C"/>
    <w:rsid w:val="19B0020D"/>
    <w:rsid w:val="19B36BD2"/>
    <w:rsid w:val="1A007458"/>
    <w:rsid w:val="1A077677"/>
    <w:rsid w:val="1A121D7A"/>
    <w:rsid w:val="1A2E6965"/>
    <w:rsid w:val="1A3F600A"/>
    <w:rsid w:val="1AE45BF4"/>
    <w:rsid w:val="1AF53498"/>
    <w:rsid w:val="1AF71372"/>
    <w:rsid w:val="1AFD1C5C"/>
    <w:rsid w:val="1B1A0242"/>
    <w:rsid w:val="1BA07D6D"/>
    <w:rsid w:val="1BBD3708"/>
    <w:rsid w:val="1BE032B9"/>
    <w:rsid w:val="1C14492F"/>
    <w:rsid w:val="1C1656D8"/>
    <w:rsid w:val="1C3F2096"/>
    <w:rsid w:val="1C4D4F83"/>
    <w:rsid w:val="1C634D7F"/>
    <w:rsid w:val="1C6E12AF"/>
    <w:rsid w:val="1C961F5B"/>
    <w:rsid w:val="1D254A3D"/>
    <w:rsid w:val="1D9E5DAE"/>
    <w:rsid w:val="1E034B41"/>
    <w:rsid w:val="1E2B0104"/>
    <w:rsid w:val="1E380731"/>
    <w:rsid w:val="1E3945AD"/>
    <w:rsid w:val="1E616AEC"/>
    <w:rsid w:val="1E86717C"/>
    <w:rsid w:val="1EAD722E"/>
    <w:rsid w:val="1EBD064C"/>
    <w:rsid w:val="1EC75987"/>
    <w:rsid w:val="1EEA7633"/>
    <w:rsid w:val="1EFA3C38"/>
    <w:rsid w:val="1F5F1CED"/>
    <w:rsid w:val="1FE02E2E"/>
    <w:rsid w:val="203E3ACF"/>
    <w:rsid w:val="20431583"/>
    <w:rsid w:val="20874AD4"/>
    <w:rsid w:val="20DB67A2"/>
    <w:rsid w:val="20E81BF1"/>
    <w:rsid w:val="215A683A"/>
    <w:rsid w:val="21947428"/>
    <w:rsid w:val="21B64DA2"/>
    <w:rsid w:val="220819CB"/>
    <w:rsid w:val="22713747"/>
    <w:rsid w:val="229027D3"/>
    <w:rsid w:val="22F12CE9"/>
    <w:rsid w:val="23304698"/>
    <w:rsid w:val="23445482"/>
    <w:rsid w:val="23476006"/>
    <w:rsid w:val="23512C83"/>
    <w:rsid w:val="23837BC9"/>
    <w:rsid w:val="23ED3554"/>
    <w:rsid w:val="23F24EDE"/>
    <w:rsid w:val="23F625F7"/>
    <w:rsid w:val="2432177F"/>
    <w:rsid w:val="24961174"/>
    <w:rsid w:val="24E7644D"/>
    <w:rsid w:val="25D56865"/>
    <w:rsid w:val="261F3BD4"/>
    <w:rsid w:val="263F426A"/>
    <w:rsid w:val="26410CDD"/>
    <w:rsid w:val="265F25D3"/>
    <w:rsid w:val="26D46243"/>
    <w:rsid w:val="27655C87"/>
    <w:rsid w:val="27D70D3A"/>
    <w:rsid w:val="27E748A1"/>
    <w:rsid w:val="27F73FD0"/>
    <w:rsid w:val="280F6C8A"/>
    <w:rsid w:val="28206509"/>
    <w:rsid w:val="28A04F21"/>
    <w:rsid w:val="28AA30C6"/>
    <w:rsid w:val="28AB7D51"/>
    <w:rsid w:val="28B020AC"/>
    <w:rsid w:val="28B74948"/>
    <w:rsid w:val="28E5728C"/>
    <w:rsid w:val="29572AB7"/>
    <w:rsid w:val="29681361"/>
    <w:rsid w:val="29A64555"/>
    <w:rsid w:val="29BD3277"/>
    <w:rsid w:val="2A085035"/>
    <w:rsid w:val="2A0C37F3"/>
    <w:rsid w:val="2A101AD6"/>
    <w:rsid w:val="2A45752D"/>
    <w:rsid w:val="2A4B5348"/>
    <w:rsid w:val="2A5174C3"/>
    <w:rsid w:val="2A9234EA"/>
    <w:rsid w:val="2AD2452A"/>
    <w:rsid w:val="2AF33361"/>
    <w:rsid w:val="2AFC6CA0"/>
    <w:rsid w:val="2B0670C7"/>
    <w:rsid w:val="2B6D6B7D"/>
    <w:rsid w:val="2B753680"/>
    <w:rsid w:val="2B916D2A"/>
    <w:rsid w:val="2B9355B8"/>
    <w:rsid w:val="2BE24F1F"/>
    <w:rsid w:val="2C243369"/>
    <w:rsid w:val="2C7368B5"/>
    <w:rsid w:val="2C8C3890"/>
    <w:rsid w:val="2CD30BBF"/>
    <w:rsid w:val="2CFB5CC1"/>
    <w:rsid w:val="2D3F01E2"/>
    <w:rsid w:val="2D654096"/>
    <w:rsid w:val="2D6B0F29"/>
    <w:rsid w:val="2D955329"/>
    <w:rsid w:val="2DE019FF"/>
    <w:rsid w:val="2E0E2B2F"/>
    <w:rsid w:val="2E1E27AC"/>
    <w:rsid w:val="2E4F4072"/>
    <w:rsid w:val="2E8C6349"/>
    <w:rsid w:val="2E924FFA"/>
    <w:rsid w:val="2EC70731"/>
    <w:rsid w:val="2F3A598B"/>
    <w:rsid w:val="2F9B2D28"/>
    <w:rsid w:val="2FB56912"/>
    <w:rsid w:val="30A6152A"/>
    <w:rsid w:val="30D64BE2"/>
    <w:rsid w:val="30E6401D"/>
    <w:rsid w:val="318600EF"/>
    <w:rsid w:val="32071DF0"/>
    <w:rsid w:val="324B249A"/>
    <w:rsid w:val="32777FC0"/>
    <w:rsid w:val="328E5178"/>
    <w:rsid w:val="32D2679E"/>
    <w:rsid w:val="32F21540"/>
    <w:rsid w:val="332F5FF9"/>
    <w:rsid w:val="33680C6C"/>
    <w:rsid w:val="3378282F"/>
    <w:rsid w:val="33E12879"/>
    <w:rsid w:val="342F0FE7"/>
    <w:rsid w:val="34563C71"/>
    <w:rsid w:val="3488164F"/>
    <w:rsid w:val="348B31FB"/>
    <w:rsid w:val="34A52E67"/>
    <w:rsid w:val="34B17C31"/>
    <w:rsid w:val="35071CD9"/>
    <w:rsid w:val="35114298"/>
    <w:rsid w:val="353918DE"/>
    <w:rsid w:val="354110E1"/>
    <w:rsid w:val="35516B6C"/>
    <w:rsid w:val="35672D37"/>
    <w:rsid w:val="35A112A5"/>
    <w:rsid w:val="35A973C7"/>
    <w:rsid w:val="35C67E0F"/>
    <w:rsid w:val="35D661BA"/>
    <w:rsid w:val="360A2FF8"/>
    <w:rsid w:val="362C3E82"/>
    <w:rsid w:val="364631AB"/>
    <w:rsid w:val="368076B6"/>
    <w:rsid w:val="369B0EE1"/>
    <w:rsid w:val="369D2660"/>
    <w:rsid w:val="36D2450F"/>
    <w:rsid w:val="36E906AB"/>
    <w:rsid w:val="372336EE"/>
    <w:rsid w:val="374F1DCF"/>
    <w:rsid w:val="375B34B7"/>
    <w:rsid w:val="375F432B"/>
    <w:rsid w:val="37CD55EE"/>
    <w:rsid w:val="37CE7BB7"/>
    <w:rsid w:val="37EC35A4"/>
    <w:rsid w:val="37ED3DD8"/>
    <w:rsid w:val="386A3366"/>
    <w:rsid w:val="3876291D"/>
    <w:rsid w:val="389944DC"/>
    <w:rsid w:val="38AF55DC"/>
    <w:rsid w:val="393C2D4E"/>
    <w:rsid w:val="39FE60B6"/>
    <w:rsid w:val="3A3B099E"/>
    <w:rsid w:val="3A4678DA"/>
    <w:rsid w:val="3A61092F"/>
    <w:rsid w:val="3A8B49C1"/>
    <w:rsid w:val="3B0E0BB2"/>
    <w:rsid w:val="3B8238BC"/>
    <w:rsid w:val="3BB315D2"/>
    <w:rsid w:val="3BCB4636"/>
    <w:rsid w:val="3BD72EE0"/>
    <w:rsid w:val="3C0F714D"/>
    <w:rsid w:val="3C2B3694"/>
    <w:rsid w:val="3C3B2469"/>
    <w:rsid w:val="3C544FA3"/>
    <w:rsid w:val="3C576B55"/>
    <w:rsid w:val="3C713ADB"/>
    <w:rsid w:val="3C9A27E4"/>
    <w:rsid w:val="3CE16532"/>
    <w:rsid w:val="3D12614A"/>
    <w:rsid w:val="3D5627FB"/>
    <w:rsid w:val="3D9C2854"/>
    <w:rsid w:val="3D9C48CD"/>
    <w:rsid w:val="3DCB634D"/>
    <w:rsid w:val="3DDE6B70"/>
    <w:rsid w:val="3DFA0157"/>
    <w:rsid w:val="3E297B57"/>
    <w:rsid w:val="3E306CEA"/>
    <w:rsid w:val="3EA3275B"/>
    <w:rsid w:val="3F044CB2"/>
    <w:rsid w:val="3F1972E8"/>
    <w:rsid w:val="3F5147C2"/>
    <w:rsid w:val="3F603948"/>
    <w:rsid w:val="3F9A4A1F"/>
    <w:rsid w:val="3FC85794"/>
    <w:rsid w:val="3FDB4C66"/>
    <w:rsid w:val="3FDC3DC8"/>
    <w:rsid w:val="3FDC5330"/>
    <w:rsid w:val="413F449F"/>
    <w:rsid w:val="415D1938"/>
    <w:rsid w:val="420162E2"/>
    <w:rsid w:val="42444CCD"/>
    <w:rsid w:val="426D00FA"/>
    <w:rsid w:val="42BA456F"/>
    <w:rsid w:val="42BB5DF5"/>
    <w:rsid w:val="42E56500"/>
    <w:rsid w:val="43664B49"/>
    <w:rsid w:val="436E4765"/>
    <w:rsid w:val="437B51F9"/>
    <w:rsid w:val="43A54DBE"/>
    <w:rsid w:val="43AB4C0B"/>
    <w:rsid w:val="43F0614E"/>
    <w:rsid w:val="43F52FA7"/>
    <w:rsid w:val="445973EF"/>
    <w:rsid w:val="446E59F4"/>
    <w:rsid w:val="44CF22F1"/>
    <w:rsid w:val="44F417ED"/>
    <w:rsid w:val="44F92119"/>
    <w:rsid w:val="451C4BEF"/>
    <w:rsid w:val="453D1E85"/>
    <w:rsid w:val="45BC72C2"/>
    <w:rsid w:val="4614508A"/>
    <w:rsid w:val="461C7805"/>
    <w:rsid w:val="463D6035"/>
    <w:rsid w:val="46C57405"/>
    <w:rsid w:val="46EA2DEB"/>
    <w:rsid w:val="46FE27F0"/>
    <w:rsid w:val="470676AE"/>
    <w:rsid w:val="47570D76"/>
    <w:rsid w:val="475A49C5"/>
    <w:rsid w:val="47BF011A"/>
    <w:rsid w:val="480B18C7"/>
    <w:rsid w:val="481B2B74"/>
    <w:rsid w:val="484A207B"/>
    <w:rsid w:val="484B394B"/>
    <w:rsid w:val="48565B04"/>
    <w:rsid w:val="48723B76"/>
    <w:rsid w:val="48743761"/>
    <w:rsid w:val="48CE4621"/>
    <w:rsid w:val="48F46FCF"/>
    <w:rsid w:val="4995335E"/>
    <w:rsid w:val="49A17D8C"/>
    <w:rsid w:val="49C073FD"/>
    <w:rsid w:val="49DE368B"/>
    <w:rsid w:val="4A020A2D"/>
    <w:rsid w:val="4A2D5F3F"/>
    <w:rsid w:val="4A985636"/>
    <w:rsid w:val="4ABC0F3B"/>
    <w:rsid w:val="4B092D1F"/>
    <w:rsid w:val="4B275572"/>
    <w:rsid w:val="4B364D95"/>
    <w:rsid w:val="4BAD5577"/>
    <w:rsid w:val="4BE617B4"/>
    <w:rsid w:val="4C7D464C"/>
    <w:rsid w:val="4C845393"/>
    <w:rsid w:val="4C8F3BB4"/>
    <w:rsid w:val="4CEE4CAC"/>
    <w:rsid w:val="4D0E285E"/>
    <w:rsid w:val="4D223F2B"/>
    <w:rsid w:val="4D31441A"/>
    <w:rsid w:val="4D7054FF"/>
    <w:rsid w:val="4DA30DFB"/>
    <w:rsid w:val="4DBF53A3"/>
    <w:rsid w:val="4DCB274F"/>
    <w:rsid w:val="4DEF0F34"/>
    <w:rsid w:val="4E1857E8"/>
    <w:rsid w:val="4E347D1E"/>
    <w:rsid w:val="4E50267E"/>
    <w:rsid w:val="4E79095D"/>
    <w:rsid w:val="4F286A11"/>
    <w:rsid w:val="4F36438E"/>
    <w:rsid w:val="4F793BF0"/>
    <w:rsid w:val="4F8C71E1"/>
    <w:rsid w:val="50412BC6"/>
    <w:rsid w:val="504D2B2E"/>
    <w:rsid w:val="505E53B0"/>
    <w:rsid w:val="50863CC5"/>
    <w:rsid w:val="508F0DE6"/>
    <w:rsid w:val="50C4263B"/>
    <w:rsid w:val="50F7072A"/>
    <w:rsid w:val="51974F6B"/>
    <w:rsid w:val="51EC038B"/>
    <w:rsid w:val="51FF1670"/>
    <w:rsid w:val="52033E4A"/>
    <w:rsid w:val="521370E7"/>
    <w:rsid w:val="52346B31"/>
    <w:rsid w:val="529069D6"/>
    <w:rsid w:val="52A46AD5"/>
    <w:rsid w:val="52C9111E"/>
    <w:rsid w:val="530B3653"/>
    <w:rsid w:val="53124374"/>
    <w:rsid w:val="5383650E"/>
    <w:rsid w:val="53B81D7B"/>
    <w:rsid w:val="53F3756F"/>
    <w:rsid w:val="540202F6"/>
    <w:rsid w:val="54711AE5"/>
    <w:rsid w:val="548C4935"/>
    <w:rsid w:val="54BA1EA7"/>
    <w:rsid w:val="55405444"/>
    <w:rsid w:val="554A460A"/>
    <w:rsid w:val="55826F33"/>
    <w:rsid w:val="55B75590"/>
    <w:rsid w:val="55C02C57"/>
    <w:rsid w:val="55EE2353"/>
    <w:rsid w:val="56145637"/>
    <w:rsid w:val="564F396A"/>
    <w:rsid w:val="568F49F0"/>
    <w:rsid w:val="56A53C82"/>
    <w:rsid w:val="57251F3F"/>
    <w:rsid w:val="57280CB4"/>
    <w:rsid w:val="572E4909"/>
    <w:rsid w:val="573E39BB"/>
    <w:rsid w:val="57783371"/>
    <w:rsid w:val="5791043C"/>
    <w:rsid w:val="57E20E43"/>
    <w:rsid w:val="57EE1B4B"/>
    <w:rsid w:val="57EF5C93"/>
    <w:rsid w:val="58052F99"/>
    <w:rsid w:val="5805569A"/>
    <w:rsid w:val="58076A3E"/>
    <w:rsid w:val="58684B6C"/>
    <w:rsid w:val="58A903AA"/>
    <w:rsid w:val="58AE1EB9"/>
    <w:rsid w:val="58D72D28"/>
    <w:rsid w:val="59140E77"/>
    <w:rsid w:val="593E4826"/>
    <w:rsid w:val="59627EB7"/>
    <w:rsid w:val="597F03B5"/>
    <w:rsid w:val="599975CF"/>
    <w:rsid w:val="59AF4078"/>
    <w:rsid w:val="59B47F65"/>
    <w:rsid w:val="59DD610C"/>
    <w:rsid w:val="5A107322"/>
    <w:rsid w:val="5A3E0C8B"/>
    <w:rsid w:val="5A6C16E6"/>
    <w:rsid w:val="5A81011B"/>
    <w:rsid w:val="5A81078E"/>
    <w:rsid w:val="5AB12902"/>
    <w:rsid w:val="5AC42625"/>
    <w:rsid w:val="5ADC7785"/>
    <w:rsid w:val="5B37709F"/>
    <w:rsid w:val="5B3F542F"/>
    <w:rsid w:val="5B6156BD"/>
    <w:rsid w:val="5B7A6F80"/>
    <w:rsid w:val="5BBE51BB"/>
    <w:rsid w:val="5C7F3665"/>
    <w:rsid w:val="5C872804"/>
    <w:rsid w:val="5CA27D18"/>
    <w:rsid w:val="5CC60D07"/>
    <w:rsid w:val="5CDA30AE"/>
    <w:rsid w:val="5D6F3AD1"/>
    <w:rsid w:val="5D750AFC"/>
    <w:rsid w:val="5D9622D5"/>
    <w:rsid w:val="5DC14EBC"/>
    <w:rsid w:val="5DC97571"/>
    <w:rsid w:val="5DCC7357"/>
    <w:rsid w:val="5DDA24AE"/>
    <w:rsid w:val="5DDE1A54"/>
    <w:rsid w:val="5E177E07"/>
    <w:rsid w:val="5E227B93"/>
    <w:rsid w:val="5E283A0A"/>
    <w:rsid w:val="5E88162E"/>
    <w:rsid w:val="5F291CEC"/>
    <w:rsid w:val="5F5711DF"/>
    <w:rsid w:val="5F643C14"/>
    <w:rsid w:val="5F6E44EB"/>
    <w:rsid w:val="5FB34087"/>
    <w:rsid w:val="5FEE0229"/>
    <w:rsid w:val="60417662"/>
    <w:rsid w:val="604E233D"/>
    <w:rsid w:val="6061371C"/>
    <w:rsid w:val="60F35816"/>
    <w:rsid w:val="612207F8"/>
    <w:rsid w:val="61347029"/>
    <w:rsid w:val="615F6A7A"/>
    <w:rsid w:val="619936E1"/>
    <w:rsid w:val="61D70DB9"/>
    <w:rsid w:val="61E101BE"/>
    <w:rsid w:val="61E36B3A"/>
    <w:rsid w:val="62285B3C"/>
    <w:rsid w:val="627806C9"/>
    <w:rsid w:val="628A03FC"/>
    <w:rsid w:val="631D231D"/>
    <w:rsid w:val="63225343"/>
    <w:rsid w:val="63741CC6"/>
    <w:rsid w:val="63911858"/>
    <w:rsid w:val="63992A7A"/>
    <w:rsid w:val="63BE4992"/>
    <w:rsid w:val="63BE71C4"/>
    <w:rsid w:val="63EA1EC8"/>
    <w:rsid w:val="64161145"/>
    <w:rsid w:val="64355702"/>
    <w:rsid w:val="64852B18"/>
    <w:rsid w:val="648907B6"/>
    <w:rsid w:val="648C6D40"/>
    <w:rsid w:val="64D779EB"/>
    <w:rsid w:val="65212B44"/>
    <w:rsid w:val="655E1242"/>
    <w:rsid w:val="657E6730"/>
    <w:rsid w:val="65967735"/>
    <w:rsid w:val="659C40EF"/>
    <w:rsid w:val="660404C6"/>
    <w:rsid w:val="66047332"/>
    <w:rsid w:val="66230F5B"/>
    <w:rsid w:val="66337885"/>
    <w:rsid w:val="66704915"/>
    <w:rsid w:val="668B0E63"/>
    <w:rsid w:val="66BB6ABD"/>
    <w:rsid w:val="672304C5"/>
    <w:rsid w:val="67320055"/>
    <w:rsid w:val="673B7BD7"/>
    <w:rsid w:val="676F1010"/>
    <w:rsid w:val="67870809"/>
    <w:rsid w:val="678E6299"/>
    <w:rsid w:val="67B16AD3"/>
    <w:rsid w:val="67CC6427"/>
    <w:rsid w:val="68012F0F"/>
    <w:rsid w:val="683825AC"/>
    <w:rsid w:val="684B5F38"/>
    <w:rsid w:val="685F6230"/>
    <w:rsid w:val="688F051A"/>
    <w:rsid w:val="68A076CF"/>
    <w:rsid w:val="68CB5C94"/>
    <w:rsid w:val="68CC3AE8"/>
    <w:rsid w:val="698049E0"/>
    <w:rsid w:val="698C54BA"/>
    <w:rsid w:val="69A237BE"/>
    <w:rsid w:val="69A238F4"/>
    <w:rsid w:val="69D90694"/>
    <w:rsid w:val="69E22DEC"/>
    <w:rsid w:val="69FB68EF"/>
    <w:rsid w:val="6A023103"/>
    <w:rsid w:val="6A5171AB"/>
    <w:rsid w:val="6A5918B5"/>
    <w:rsid w:val="6A6D5EC6"/>
    <w:rsid w:val="6ACE1BF5"/>
    <w:rsid w:val="6AEA2E42"/>
    <w:rsid w:val="6AF17B1C"/>
    <w:rsid w:val="6B056872"/>
    <w:rsid w:val="6B464F6E"/>
    <w:rsid w:val="6B4750DC"/>
    <w:rsid w:val="6B8E2CA3"/>
    <w:rsid w:val="6BDD23C1"/>
    <w:rsid w:val="6BEE1359"/>
    <w:rsid w:val="6BEE1B82"/>
    <w:rsid w:val="6BFC068F"/>
    <w:rsid w:val="6C1F0388"/>
    <w:rsid w:val="6C313C16"/>
    <w:rsid w:val="6C39249C"/>
    <w:rsid w:val="6C3F4006"/>
    <w:rsid w:val="6CA93AC2"/>
    <w:rsid w:val="6D8D2F3C"/>
    <w:rsid w:val="6E921E64"/>
    <w:rsid w:val="6E9879FD"/>
    <w:rsid w:val="6F9E0C25"/>
    <w:rsid w:val="706D1B56"/>
    <w:rsid w:val="70835036"/>
    <w:rsid w:val="70877744"/>
    <w:rsid w:val="7097183A"/>
    <w:rsid w:val="70BF74C3"/>
    <w:rsid w:val="70DF3FB6"/>
    <w:rsid w:val="70E9309F"/>
    <w:rsid w:val="71142E93"/>
    <w:rsid w:val="720553A9"/>
    <w:rsid w:val="72121FAD"/>
    <w:rsid w:val="72251C91"/>
    <w:rsid w:val="722D31E7"/>
    <w:rsid w:val="727012EC"/>
    <w:rsid w:val="72904D02"/>
    <w:rsid w:val="72FE79B2"/>
    <w:rsid w:val="73762E36"/>
    <w:rsid w:val="73B76199"/>
    <w:rsid w:val="73FB071E"/>
    <w:rsid w:val="74037C32"/>
    <w:rsid w:val="7418787F"/>
    <w:rsid w:val="743F0961"/>
    <w:rsid w:val="74543D2E"/>
    <w:rsid w:val="746C6304"/>
    <w:rsid w:val="74745B9F"/>
    <w:rsid w:val="74823DC1"/>
    <w:rsid w:val="74AF7F50"/>
    <w:rsid w:val="74C80549"/>
    <w:rsid w:val="74FA4392"/>
    <w:rsid w:val="752244C4"/>
    <w:rsid w:val="755F19E9"/>
    <w:rsid w:val="75A77F97"/>
    <w:rsid w:val="75A846C8"/>
    <w:rsid w:val="75C94D6A"/>
    <w:rsid w:val="75CD4430"/>
    <w:rsid w:val="76105D41"/>
    <w:rsid w:val="76140F11"/>
    <w:rsid w:val="76151BE7"/>
    <w:rsid w:val="76236746"/>
    <w:rsid w:val="76FC296A"/>
    <w:rsid w:val="776E2060"/>
    <w:rsid w:val="778866A1"/>
    <w:rsid w:val="77937B19"/>
    <w:rsid w:val="77A34F7A"/>
    <w:rsid w:val="781D4589"/>
    <w:rsid w:val="78586FA2"/>
    <w:rsid w:val="785F60A8"/>
    <w:rsid w:val="78684D89"/>
    <w:rsid w:val="786C5963"/>
    <w:rsid w:val="78722A67"/>
    <w:rsid w:val="78782084"/>
    <w:rsid w:val="78992C27"/>
    <w:rsid w:val="78A441F5"/>
    <w:rsid w:val="78CD50B7"/>
    <w:rsid w:val="795C36FA"/>
    <w:rsid w:val="795E2293"/>
    <w:rsid w:val="798F285B"/>
    <w:rsid w:val="79C124FE"/>
    <w:rsid w:val="79D7587D"/>
    <w:rsid w:val="7A0A65D9"/>
    <w:rsid w:val="7A3356AA"/>
    <w:rsid w:val="7A990D85"/>
    <w:rsid w:val="7B0703E4"/>
    <w:rsid w:val="7B346CFF"/>
    <w:rsid w:val="7B4D2D03"/>
    <w:rsid w:val="7B59103E"/>
    <w:rsid w:val="7BB71E46"/>
    <w:rsid w:val="7C0F7B31"/>
    <w:rsid w:val="7C5C650E"/>
    <w:rsid w:val="7C7F4E97"/>
    <w:rsid w:val="7CAC0188"/>
    <w:rsid w:val="7CBA153C"/>
    <w:rsid w:val="7CD259E1"/>
    <w:rsid w:val="7D094CD6"/>
    <w:rsid w:val="7D220FC5"/>
    <w:rsid w:val="7D24318C"/>
    <w:rsid w:val="7D275FCB"/>
    <w:rsid w:val="7D43798F"/>
    <w:rsid w:val="7D8D795A"/>
    <w:rsid w:val="7D9F3B9B"/>
    <w:rsid w:val="7E3F6363"/>
    <w:rsid w:val="7E663674"/>
    <w:rsid w:val="7E745A9B"/>
    <w:rsid w:val="7E8746D1"/>
    <w:rsid w:val="7F16383D"/>
    <w:rsid w:val="7F69311C"/>
    <w:rsid w:val="7F8E40A0"/>
    <w:rsid w:val="7FC36279"/>
    <w:rsid w:val="7FF151B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nhideWhenUsed="0" w:uiPriority="35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unhideWhenUsed/>
    <w:qFormat/>
    <w:uiPriority w:val="1"/>
  </w:style>
  <w:style w:type="table" w:default="1" w:styleId="6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autoRedefine/>
    <w:qFormat/>
    <w:uiPriority w:val="35"/>
    <w:rPr>
      <w:rFonts w:ascii="Cambria" w:hAnsi="Cambria" w:eastAsia="黑体" w:cs="黑体"/>
      <w:sz w:val="20"/>
      <w:szCs w:val="20"/>
    </w:rPr>
  </w:style>
  <w:style w:type="paragraph" w:styleId="3">
    <w:name w:val="footer"/>
    <w:basedOn w:val="1"/>
    <w:link w:val="9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8">
    <w:name w:val="page number"/>
    <w:basedOn w:val="7"/>
    <w:autoRedefine/>
    <w:qFormat/>
    <w:uiPriority w:val="0"/>
  </w:style>
  <w:style w:type="character" w:customStyle="1" w:styleId="9">
    <w:name w:val="页脚 字符"/>
    <w:link w:val="3"/>
    <w:autoRedefine/>
    <w:qFormat/>
    <w:uiPriority w:val="99"/>
    <w:rPr>
      <w:sz w:val="18"/>
      <w:szCs w:val="18"/>
    </w:rPr>
  </w:style>
  <w:style w:type="character" w:customStyle="1" w:styleId="10">
    <w:name w:val="页眉 字符"/>
    <w:link w:val="4"/>
    <w:autoRedefine/>
    <w:qFormat/>
    <w:uiPriority w:val="99"/>
    <w:rPr>
      <w:sz w:val="18"/>
      <w:szCs w:val="18"/>
    </w:rPr>
  </w:style>
  <w:style w:type="paragraph" w:customStyle="1" w:styleId="11">
    <w:name w:val="列出段落1"/>
    <w:basedOn w:val="1"/>
    <w:autoRedefine/>
    <w:qFormat/>
    <w:uiPriority w:val="34"/>
    <w:pPr>
      <w:ind w:firstLine="420" w:firstLineChars="200"/>
    </w:pPr>
    <w:rPr>
      <w:rFonts w:cs="黑体"/>
    </w:rPr>
  </w:style>
  <w:style w:type="character" w:customStyle="1" w:styleId="12">
    <w:name w:val="font101"/>
    <w:autoRedefine/>
    <w:qFormat/>
    <w:uiPriority w:val="0"/>
    <w:rPr>
      <w:rFonts w:hint="eastAsia" w:ascii="仿宋_GB2312" w:eastAsia="仿宋_GB2312" w:cs="仿宋_GB2312"/>
      <w:color w:val="FF0000"/>
      <w:sz w:val="18"/>
      <w:szCs w:val="18"/>
    </w:rPr>
  </w:style>
  <w:style w:type="character" w:customStyle="1" w:styleId="13">
    <w:name w:val="font61"/>
    <w:autoRedefine/>
    <w:qFormat/>
    <w:uiPriority w:val="0"/>
    <w:rPr>
      <w:rFonts w:hint="eastAsia" w:ascii="仿宋_GB2312" w:eastAsia="仿宋_GB2312" w:cs="仿宋_GB2312"/>
      <w:color w:val="00000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hart" Target="charts/chart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dministrator\Desktop\&#26376;&#25253;\4&#26376;&#20221;\&#39292;&#22270;202404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t>有效信息</a:t>
            </a:r>
            <a:endParaRPr sz="1400" b="0" i="0" u="none" strike="noStrike" baseline="0">
              <a:solidFill>
                <a:srgbClr val="595959">
                  <a:alpha val="100000"/>
                </a:srgbClr>
              </a:solidFill>
              <a:latin typeface="宋体" panose="02010600030101010101" charset="-122"/>
              <a:ea typeface="宋体" panose="02010600030101010101" charset="-122"/>
              <a:cs typeface="宋体" panose="02010600030101010101" charset="-122"/>
            </a:endParaRP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pieChart>
        <c:varyColors val="1"/>
        <c:ser>
          <c:idx val="0"/>
          <c:order val="0"/>
          <c:explosion val="0"/>
          <c:dPt>
            <c:idx val="0"/>
            <c:bubble3D val="0"/>
            <c:explosion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explosion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explosion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explosion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0.063501281544846"/>
                  <c:y val="-0.0333064734834359"/>
                </c:manualLayout>
              </c:layout>
              <c:tx>
                <c:rich>
                  <a:bodyPr rot="0" spcFirstLastPara="0" vertOverflow="ellipsis" vert="horz" wrap="square" lIns="38100" tIns="19050" rIns="38100" bIns="19050" anchor="ctr" anchorCtr="1"/>
                  <a:lstStyle/>
                  <a:p>
                    <a:pPr defTabSz="914400">
                      <a:defRPr lang="zh-CN" sz="900" b="0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t>投诉, </a:t>
                    </a:r>
                    <a:r>
                      <a:rPr lang="en-US" altLang="zh-CN"/>
                      <a:t>44</a:t>
                    </a:r>
                    <a:r>
                      <a:t>, </a:t>
                    </a:r>
                    <a:r>
                      <a:rPr lang="en-US" altLang="zh-CN"/>
                      <a:t>3.61</a:t>
                    </a:r>
                    <a:r>
                      <a:t>%</a:t>
                    </a:r>
                  </a:p>
                </c:rich>
              </c:tx>
              <c:numFmt formatCode="0.00%" sourceLinked="0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0.0706064326924265"/>
                  <c:y val="0.0404794066561688"/>
                </c:manualLayout>
              </c:layout>
              <c:tx>
                <c:rich>
                  <a:bodyPr rot="0" spcFirstLastPara="0" vertOverflow="ellipsis" vert="horz" wrap="square" lIns="38100" tIns="19050" rIns="38100" bIns="19050" anchor="ctr" anchorCtr="1"/>
                  <a:lstStyle/>
                  <a:p>
                    <a:pPr defTabSz="914400">
                      <a:defRPr lang="zh-CN" sz="900" b="0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t>举报,</a:t>
                    </a:r>
                    <a:r>
                      <a:rPr lang="en-US" altLang="zh-CN"/>
                      <a:t>3</a:t>
                    </a:r>
                    <a:r>
                      <a:t>, 0.</a:t>
                    </a:r>
                    <a:r>
                      <a:rPr lang="en-US" altLang="zh-CN"/>
                      <a:t>25</a:t>
                    </a:r>
                    <a:r>
                      <a:t>%</a:t>
                    </a:r>
                  </a:p>
                </c:rich>
              </c:tx>
              <c:numFmt formatCode="0.00%" sourceLinked="0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-0.183609516956236"/>
                  <c:y val="0.0118414598761166"/>
                </c:manualLayout>
              </c:layout>
              <c:tx>
                <c:rich>
                  <a:bodyPr rot="0" spcFirstLastPara="0" vertOverflow="ellipsis" vert="horz" wrap="square" lIns="38100" tIns="19050" rIns="38100" bIns="19050" anchor="ctr" anchorCtr="1"/>
                  <a:lstStyle/>
                  <a:p>
                    <a:pPr defTabSz="914400">
                      <a:defRPr lang="zh-CN" sz="900" b="0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sz="900" b="0" i="0" u="none" strike="noStrike" baseline="0">
                        <a:solidFill>
                          <a:srgbClr val="333333"/>
                        </a:solidFill>
                        <a:latin typeface="宋体" panose="02010600030101010101" charset="-122"/>
                        <a:ea typeface="宋体" panose="02010600030101010101" charset="-122"/>
                        <a:cs typeface="宋体" panose="02010600030101010101" charset="-122"/>
                      </a:rPr>
                      <a:t>其他,</a:t>
                    </a:r>
                    <a:r>
                      <a:rPr lang="en-US" altLang="zh-CN" sz="900" b="0" i="0" u="none" strike="noStrike" baseline="0">
                        <a:solidFill>
                          <a:srgbClr val="333333"/>
                        </a:solidFill>
                        <a:latin typeface="宋体" panose="02010600030101010101" charset="-122"/>
                        <a:ea typeface="宋体" panose="02010600030101010101" charset="-122"/>
                        <a:cs typeface="宋体" panose="02010600030101010101" charset="-122"/>
                      </a:rPr>
                      <a:t>182</a:t>
                    </a:r>
                    <a:r>
                      <a:rPr sz="900" b="0" i="0" u="none" strike="noStrike" baseline="0">
                        <a:solidFill>
                          <a:srgbClr val="333333"/>
                        </a:solidFill>
                        <a:latin typeface="宋体" panose="02010600030101010101" charset="-122"/>
                        <a:ea typeface="宋体" panose="02010600030101010101" charset="-122"/>
                        <a:cs typeface="宋体" panose="02010600030101010101" charset="-122"/>
                      </a:rPr>
                      <a:t>, </a:t>
                    </a:r>
                    <a:r>
                      <a:rPr lang="en-US" altLang="zh-CN" sz="900" b="0" i="0" u="none" strike="noStrike" baseline="0">
                        <a:solidFill>
                          <a:srgbClr val="333333"/>
                        </a:solidFill>
                        <a:latin typeface="宋体" panose="02010600030101010101" charset="-122"/>
                        <a:ea typeface="宋体" panose="02010600030101010101" charset="-122"/>
                        <a:cs typeface="宋体" panose="02010600030101010101" charset="-122"/>
                      </a:rPr>
                      <a:t>14.94</a:t>
                    </a:r>
                    <a:r>
                      <a:rPr sz="900" b="0" i="0" u="none" strike="noStrike" baseline="0">
                        <a:solidFill>
                          <a:srgbClr val="333333"/>
                        </a:solidFill>
                        <a:latin typeface="宋体" panose="02010600030101010101" charset="-122"/>
                        <a:ea typeface="宋体" panose="02010600030101010101" charset="-122"/>
                        <a:cs typeface="宋体" panose="02010600030101010101" charset="-122"/>
                      </a:rPr>
                      <a:t>%</a:t>
                    </a:r>
                    <a:endParaRPr sz="1200" b="0" i="0" u="none" strike="noStrike" baseline="0">
                      <a:solidFill>
                        <a:srgbClr val="000000"/>
                      </a:solidFill>
                      <a:latin typeface="宋体" panose="02010600030101010101" charset="-122"/>
                      <a:ea typeface="宋体" panose="02010600030101010101" charset="-122"/>
                      <a:cs typeface="宋体" panose="02010600030101010101" charset="-122"/>
                    </a:endParaRPr>
                  </a:p>
                </c:rich>
              </c:tx>
              <c:numFmt formatCode="0.00%" sourceLinked="0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numFmt formatCode="0.00%" sourceLinked="0"/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bestFit"/>
            <c:showLegendKey val="0"/>
            <c:showVal val="1"/>
            <c:showCatName val="1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rgbClr val="969696">
                          <a:alpha val="100000"/>
                        </a:srgbClr>
                      </a:solidFill>
                      <a:prstDash val="solid"/>
                      <a:round/>
                    </a:ln>
                  </c:spPr>
                </c15:leaderLines>
              </c:ext>
            </c:extLst>
          </c:dLbls>
          <c:cat>
            <c:strRef>
              <c:f>'[饼图202404.xlsx]202401'!$A$1:$A$4</c:f>
              <c:strCache>
                <c:ptCount val="4"/>
                <c:pt idx="0">
                  <c:v>投诉</c:v>
                </c:pt>
                <c:pt idx="1">
                  <c:v>举报</c:v>
                </c:pt>
                <c:pt idx="2">
                  <c:v>咨询</c:v>
                </c:pt>
                <c:pt idx="3">
                  <c:v>其他</c:v>
                </c:pt>
              </c:strCache>
            </c:strRef>
          </c:cat>
          <c:val>
            <c:numRef>
              <c:f>'[饼图202404.xlsx]202401'!$B$1:$B$4</c:f>
              <c:numCache>
                <c:formatCode>General</c:formatCode>
                <c:ptCount val="4"/>
                <c:pt idx="0">
                  <c:v>44</c:v>
                </c:pt>
                <c:pt idx="1">
                  <c:v>3</c:v>
                </c:pt>
                <c:pt idx="2">
                  <c:v>989</c:v>
                </c:pt>
                <c:pt idx="3">
                  <c:v>182</c:v>
                </c:pt>
              </c:numCache>
            </c:numRef>
          </c:val>
        </c:ser>
        <c:ser>
          <c:idx val="1"/>
          <c:order val="1"/>
          <c:explosion val="0"/>
          <c:dPt>
            <c:idx val="0"/>
            <c:bubble3D val="0"/>
            <c:explosion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explosion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explosion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explosion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numFmt formatCode="General" sourceLinked="1"/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rgbClr val="969696">
                          <a:alpha val="100000"/>
                        </a:srgbClr>
                      </a:solidFill>
                      <a:prstDash val="solid"/>
                      <a:round/>
                    </a:ln>
                  </c:spPr>
                </c15:leaderLines>
              </c:ext>
            </c:extLst>
          </c:dLbls>
          <c:cat>
            <c:strRef>
              <c:f>'[饼图202404.xlsx]202401'!$A$1:$A$4</c:f>
              <c:strCache>
                <c:ptCount val="4"/>
                <c:pt idx="0">
                  <c:v>投诉</c:v>
                </c:pt>
                <c:pt idx="1">
                  <c:v>举报</c:v>
                </c:pt>
                <c:pt idx="2">
                  <c:v>咨询</c:v>
                </c:pt>
                <c:pt idx="3">
                  <c:v>其他</c:v>
                </c:pt>
              </c:strCache>
            </c:strRef>
          </c:cat>
          <c:val>
            <c:numRef>
              <c:f>'[饼图202404.xlsx]202401'!$C$1:$C$4</c:f>
              <c:numCache>
                <c:formatCode>0.00%</c:formatCode>
                <c:ptCount val="4"/>
                <c:pt idx="0">
                  <c:v>0.0361</c:v>
                </c:pt>
                <c:pt idx="1">
                  <c:v>0.0025</c:v>
                </c:pt>
                <c:pt idx="2">
                  <c:v>0.812</c:v>
                </c:pt>
                <c:pt idx="3">
                  <c:v>0.1494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prstDash val="solid"/>
      <a:round/>
    </a:ln>
    <a:effectLst/>
  </c:spPr>
  <c:txPr>
    <a:bodyPr wrap="square"/>
    <a:lstStyle/>
    <a:p>
      <a:pPr>
        <a:defRPr lang="zh-CN"/>
      </a:pPr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1038</Words>
  <Characters>1255</Characters>
  <Lines>11</Lines>
  <Paragraphs>3</Paragraphs>
  <TotalTime>10</TotalTime>
  <ScaleCrop>false</ScaleCrop>
  <LinksUpToDate>false</LinksUpToDate>
  <CharactersWithSpaces>1334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2016-12-12T01:02:00Z</dcterms:created>
  <dc:creator>Wangy</dc:creator>
  <cp:lastModifiedBy>亦儿</cp:lastModifiedBy>
  <cp:lastPrinted>2023-01-30T07:36:00Z</cp:lastPrinted>
  <dcterms:modified xsi:type="dcterms:W3CDTF">2024-05-15T12:01:55Z</dcterms:modified>
  <cp:revision>79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735DEAD03A4B432BA1721AB67F93860B_13</vt:lpwstr>
  </property>
</Properties>
</file>